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54"/>
        <w:gridCol w:w="480"/>
        <w:gridCol w:w="824"/>
        <w:gridCol w:w="2436"/>
        <w:gridCol w:w="567"/>
        <w:gridCol w:w="81"/>
        <w:gridCol w:w="603"/>
        <w:gridCol w:w="3710"/>
      </w:tblGrid>
      <w:tr w:rsidR="00242CEF" w:rsidRPr="003204D3" w:rsidTr="00826C55">
        <w:trPr>
          <w:trHeight w:val="1611"/>
        </w:trPr>
        <w:tc>
          <w:tcPr>
            <w:tcW w:w="6744" w:type="dxa"/>
            <w:gridSpan w:val="7"/>
          </w:tcPr>
          <w:p w:rsidR="00C20C71" w:rsidRPr="003204D3" w:rsidRDefault="005019D1" w:rsidP="00BF18E1">
            <w:pPr>
              <w:spacing w:line="240" w:lineRule="auto"/>
              <w:ind w:hanging="45"/>
              <w:rPr>
                <w:rFonts w:ascii="Times New Roman" w:hAnsi="Times New Roman"/>
              </w:rPr>
            </w:pPr>
            <w:bookmarkStart w:id="0" w:name="t1"/>
            <w:r w:rsidRPr="003204D3">
              <w:rPr>
                <w:rFonts w:ascii="Times New Roman" w:hAnsi="Times New Roman"/>
                <w:b/>
              </w:rPr>
              <w:t xml:space="preserve"> </w:t>
            </w:r>
            <w:r w:rsidR="006A701A" w:rsidRPr="003204D3">
              <w:rPr>
                <w:rFonts w:ascii="Times New Roman" w:hAnsi="Times New Roman"/>
                <w:b/>
              </w:rPr>
              <w:t xml:space="preserve">Nazwa </w:t>
            </w:r>
            <w:r w:rsidR="001B75D8" w:rsidRPr="003204D3">
              <w:rPr>
                <w:rFonts w:ascii="Times New Roman" w:hAnsi="Times New Roman"/>
                <w:b/>
              </w:rPr>
              <w:t>projektu</w:t>
            </w:r>
            <w:r w:rsidR="00C17A87" w:rsidRPr="003204D3">
              <w:rPr>
                <w:rFonts w:ascii="Times New Roman" w:hAnsi="Times New Roman"/>
              </w:rPr>
              <w:t xml:space="preserve">: </w:t>
            </w:r>
          </w:p>
          <w:p w:rsidR="00592232" w:rsidRPr="003204D3" w:rsidRDefault="002C0637" w:rsidP="00BF18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3204D3">
              <w:rPr>
                <w:rFonts w:ascii="Times New Roman" w:hAnsi="Times New Roman"/>
              </w:rPr>
              <w:t xml:space="preserve">Projekt ustawy </w:t>
            </w:r>
            <w:r w:rsidR="00D57B64" w:rsidRPr="003204D3">
              <w:rPr>
                <w:rFonts w:ascii="Times New Roman" w:hAnsi="Times New Roman"/>
              </w:rPr>
              <w:t xml:space="preserve">o </w:t>
            </w:r>
            <w:r w:rsidR="00D57B64" w:rsidRPr="003204D3">
              <w:rPr>
                <w:rFonts w:ascii="Times New Roman" w:eastAsia="Times New Roman" w:hAnsi="Times New Roman"/>
              </w:rPr>
              <w:t>zmianie ustawy o świadczeniach opieki zdrowotnej finansowan</w:t>
            </w:r>
            <w:r w:rsidR="00406616">
              <w:rPr>
                <w:rFonts w:ascii="Times New Roman" w:eastAsia="Times New Roman" w:hAnsi="Times New Roman"/>
              </w:rPr>
              <w:t>ych ze środków publicznych</w:t>
            </w:r>
          </w:p>
          <w:p w:rsidR="00592232" w:rsidRPr="003204D3" w:rsidRDefault="00592232" w:rsidP="00BF18E1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6A701A" w:rsidRPr="003204D3" w:rsidRDefault="006A701A" w:rsidP="00BF18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>Ministerstwo wiodące i ministerstwa</w:t>
            </w:r>
            <w:r w:rsidR="002C0637" w:rsidRPr="003204D3">
              <w:rPr>
                <w:rFonts w:ascii="Times New Roman" w:hAnsi="Times New Roman"/>
                <w:b/>
              </w:rPr>
              <w:t xml:space="preserve"> współpracujące</w:t>
            </w:r>
          </w:p>
          <w:bookmarkEnd w:id="0"/>
          <w:p w:rsidR="006A701A" w:rsidRPr="003204D3" w:rsidRDefault="00592232" w:rsidP="00BF18E1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 xml:space="preserve"> </w:t>
            </w:r>
            <w:r w:rsidR="002C0637" w:rsidRPr="003204D3">
              <w:rPr>
                <w:rFonts w:ascii="Times New Roman" w:hAnsi="Times New Roman"/>
              </w:rPr>
              <w:t xml:space="preserve">Ministerstwo Zdrowia </w:t>
            </w:r>
          </w:p>
          <w:p w:rsidR="00592232" w:rsidRPr="003204D3" w:rsidRDefault="00592232" w:rsidP="00BF18E1">
            <w:pPr>
              <w:spacing w:line="240" w:lineRule="auto"/>
              <w:ind w:hanging="34"/>
              <w:rPr>
                <w:rFonts w:ascii="Times New Roman" w:hAnsi="Times New Roman"/>
              </w:rPr>
            </w:pPr>
          </w:p>
          <w:p w:rsidR="00592232" w:rsidRPr="003204D3" w:rsidRDefault="002C0637" w:rsidP="00BF18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>Osoba odpowiedzialna za</w:t>
            </w:r>
            <w:r w:rsidR="00592232" w:rsidRPr="003204D3">
              <w:rPr>
                <w:rFonts w:ascii="Times New Roman" w:hAnsi="Times New Roman"/>
                <w:b/>
              </w:rPr>
              <w:t xml:space="preserve"> projekt w randze Ministra, Sekr</w:t>
            </w:r>
            <w:r w:rsidRPr="003204D3">
              <w:rPr>
                <w:rFonts w:ascii="Times New Roman" w:hAnsi="Times New Roman"/>
                <w:b/>
              </w:rPr>
              <w:t>etarza Stanu lub Podsekretarza Stanu:</w:t>
            </w:r>
          </w:p>
          <w:p w:rsidR="001B3460" w:rsidRPr="003204D3" w:rsidRDefault="002C0637" w:rsidP="00BF18E1">
            <w:pPr>
              <w:spacing w:line="240" w:lineRule="auto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>Piotr Gryza, Podsekretarz Stanu w Ministerstwie Zdrowia</w:t>
            </w:r>
          </w:p>
          <w:p w:rsidR="00592232" w:rsidRPr="003204D3" w:rsidRDefault="00592232" w:rsidP="00BF18E1">
            <w:pPr>
              <w:spacing w:line="240" w:lineRule="auto"/>
              <w:ind w:hanging="45"/>
              <w:rPr>
                <w:rFonts w:ascii="Times New Roman" w:hAnsi="Times New Roman"/>
                <w:b/>
              </w:rPr>
            </w:pPr>
          </w:p>
          <w:p w:rsidR="006A701A" w:rsidRPr="003204D3" w:rsidRDefault="005019D1" w:rsidP="00BF18E1">
            <w:pPr>
              <w:spacing w:line="240" w:lineRule="auto"/>
              <w:ind w:hanging="45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 </w:t>
            </w:r>
            <w:r w:rsidR="002C0637" w:rsidRPr="003204D3">
              <w:rPr>
                <w:rFonts w:ascii="Times New Roman" w:hAnsi="Times New Roman"/>
                <w:b/>
              </w:rPr>
              <w:t>Kontakt do opiekuna merytorycznego projektu</w:t>
            </w:r>
            <w:r w:rsidR="00376467" w:rsidRPr="003204D3">
              <w:rPr>
                <w:rFonts w:ascii="Times New Roman" w:hAnsi="Times New Roman"/>
                <w:b/>
              </w:rPr>
              <w:t>:</w:t>
            </w:r>
          </w:p>
          <w:p w:rsidR="00376467" w:rsidRPr="003204D3" w:rsidRDefault="005019D1" w:rsidP="00BF18E1">
            <w:pPr>
              <w:spacing w:line="240" w:lineRule="auto"/>
              <w:ind w:hanging="45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 xml:space="preserve"> </w:t>
            </w:r>
            <w:r w:rsidR="00592232" w:rsidRPr="003204D3">
              <w:rPr>
                <w:rFonts w:ascii="Times New Roman" w:hAnsi="Times New Roman"/>
              </w:rPr>
              <w:t>Rafał Bułanowski</w:t>
            </w:r>
            <w:r w:rsidR="00376467" w:rsidRPr="003204D3">
              <w:rPr>
                <w:rFonts w:ascii="Times New Roman" w:hAnsi="Times New Roman"/>
              </w:rPr>
              <w:t xml:space="preserve">, </w:t>
            </w:r>
            <w:hyperlink r:id="rId8" w:history="1">
              <w:r w:rsidR="00592232" w:rsidRPr="003204D3">
                <w:rPr>
                  <w:rStyle w:val="Hipercze"/>
                  <w:rFonts w:ascii="Times New Roman" w:hAnsi="Times New Roman"/>
                  <w:color w:val="auto"/>
                </w:rPr>
                <w:t>r.bulanowski@mz.gov.pl</w:t>
              </w:r>
            </w:hyperlink>
            <w:r w:rsidR="00807F33" w:rsidRPr="003204D3">
              <w:rPr>
                <w:rFonts w:ascii="Times New Roman" w:hAnsi="Times New Roman"/>
              </w:rPr>
              <w:t xml:space="preserve">; (22) </w:t>
            </w:r>
            <w:r w:rsidR="00592232" w:rsidRPr="003204D3">
              <w:rPr>
                <w:rFonts w:ascii="Times New Roman" w:hAnsi="Times New Roman"/>
              </w:rPr>
              <w:t>860 11 38</w:t>
            </w:r>
            <w:r w:rsidR="00C20C71" w:rsidRPr="003204D3">
              <w:rPr>
                <w:rFonts w:ascii="Times New Roman" w:hAnsi="Times New Roman"/>
              </w:rPr>
              <w:t>, Departament Ubezpieczenia Zdrowotnego w</w:t>
            </w:r>
            <w:r w:rsidR="00376467" w:rsidRPr="003204D3">
              <w:rPr>
                <w:rFonts w:ascii="Times New Roman" w:hAnsi="Times New Roman"/>
              </w:rPr>
              <w:t xml:space="preserve"> </w:t>
            </w:r>
            <w:r w:rsidR="00C20C71" w:rsidRPr="003204D3">
              <w:rPr>
                <w:rFonts w:ascii="Times New Roman" w:hAnsi="Times New Roman"/>
              </w:rPr>
              <w:t>Ministerstwie Zdrowia</w:t>
            </w:r>
          </w:p>
          <w:p w:rsidR="00FC3FC8" w:rsidRPr="003204D3" w:rsidRDefault="00FC3FC8" w:rsidP="00BF18E1">
            <w:pPr>
              <w:spacing w:line="240" w:lineRule="auto"/>
              <w:ind w:hanging="34"/>
              <w:rPr>
                <w:rFonts w:ascii="Times New Roman" w:hAnsi="Times New Roman"/>
              </w:rPr>
            </w:pPr>
          </w:p>
        </w:tc>
        <w:tc>
          <w:tcPr>
            <w:tcW w:w="4313" w:type="dxa"/>
            <w:gridSpan w:val="2"/>
            <w:shd w:val="clear" w:color="auto" w:fill="FFFFFF"/>
          </w:tcPr>
          <w:p w:rsidR="00C20C71" w:rsidRPr="003204D3" w:rsidRDefault="001B3460" w:rsidP="00BF18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>Data sporządzenia</w:t>
            </w:r>
            <w:r w:rsidR="00C20C71" w:rsidRPr="003204D3">
              <w:rPr>
                <w:rFonts w:ascii="Times New Roman" w:hAnsi="Times New Roman"/>
                <w:b/>
              </w:rPr>
              <w:t>:</w:t>
            </w:r>
          </w:p>
          <w:p w:rsidR="00F76884" w:rsidRPr="003204D3" w:rsidRDefault="00C03B6E" w:rsidP="00BF18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</w:rPr>
              <w:t>1</w:t>
            </w:r>
            <w:r w:rsidR="003204D3" w:rsidRPr="003204D3">
              <w:rPr>
                <w:rFonts w:ascii="Times New Roman" w:hAnsi="Times New Roman"/>
              </w:rPr>
              <w:t>1</w:t>
            </w:r>
            <w:r w:rsidRPr="003204D3">
              <w:rPr>
                <w:rFonts w:ascii="Times New Roman" w:hAnsi="Times New Roman"/>
              </w:rPr>
              <w:t>.12.</w:t>
            </w:r>
            <w:r w:rsidR="00C20C71" w:rsidRPr="003204D3">
              <w:rPr>
                <w:rFonts w:ascii="Times New Roman" w:hAnsi="Times New Roman"/>
              </w:rPr>
              <w:t>2016 r.</w:t>
            </w:r>
            <w:r w:rsidR="001B3460" w:rsidRPr="003204D3">
              <w:rPr>
                <w:rFonts w:ascii="Times New Roman" w:hAnsi="Times New Roman"/>
                <w:b/>
              </w:rPr>
              <w:br/>
            </w:r>
          </w:p>
          <w:p w:rsidR="00592232" w:rsidRPr="003204D3" w:rsidRDefault="00F76884" w:rsidP="00BF18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>Źródło:</w:t>
            </w:r>
          </w:p>
          <w:p w:rsidR="009E7500" w:rsidRPr="003204D3" w:rsidRDefault="00C20C71" w:rsidP="00BF18E1">
            <w:pPr>
              <w:spacing w:line="240" w:lineRule="auto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>Potrzeba</w:t>
            </w:r>
            <w:r w:rsidR="00592232" w:rsidRPr="003204D3">
              <w:rPr>
                <w:rFonts w:ascii="Times New Roman" w:hAnsi="Times New Roman"/>
              </w:rPr>
              <w:t xml:space="preserve"> pilnego wprowadzenia regulacji racjonalizujących </w:t>
            </w:r>
            <w:r w:rsidR="001D4AD3" w:rsidRPr="003204D3">
              <w:rPr>
                <w:rFonts w:ascii="Times New Roman" w:hAnsi="Times New Roman"/>
              </w:rPr>
              <w:t xml:space="preserve">zawieranie umów </w:t>
            </w:r>
            <w:r w:rsidR="00592232" w:rsidRPr="003204D3">
              <w:rPr>
                <w:rFonts w:ascii="Times New Roman" w:hAnsi="Times New Roman"/>
              </w:rPr>
              <w:t xml:space="preserve">i finansowanie świadczeń opieki zdrowotnej </w:t>
            </w:r>
            <w:r w:rsidR="004A4FE0" w:rsidRPr="003204D3">
              <w:rPr>
                <w:rFonts w:ascii="Times New Roman" w:hAnsi="Times New Roman"/>
              </w:rPr>
              <w:t>z zakres</w:t>
            </w:r>
            <w:r w:rsidR="00E268B4">
              <w:rPr>
                <w:rFonts w:ascii="Times New Roman" w:hAnsi="Times New Roman"/>
              </w:rPr>
              <w:t xml:space="preserve">u leczenia szpitalnego </w:t>
            </w:r>
          </w:p>
          <w:p w:rsidR="009E7500" w:rsidRPr="003204D3" w:rsidRDefault="009E7500" w:rsidP="00BF18E1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3204D3" w:rsidRDefault="006A701A" w:rsidP="00BF18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Nr </w:t>
            </w:r>
            <w:r w:rsidR="0057668E" w:rsidRPr="003204D3">
              <w:rPr>
                <w:rFonts w:ascii="Times New Roman" w:hAnsi="Times New Roman"/>
                <w:b/>
              </w:rPr>
              <w:t>w</w:t>
            </w:r>
            <w:r w:rsidRPr="003204D3">
              <w:rPr>
                <w:rFonts w:ascii="Times New Roman" w:hAnsi="Times New Roman"/>
                <w:b/>
              </w:rPr>
              <w:t xml:space="preserve"> wykaz</w:t>
            </w:r>
            <w:r w:rsidR="0057668E" w:rsidRPr="003204D3">
              <w:rPr>
                <w:rFonts w:ascii="Times New Roman" w:hAnsi="Times New Roman"/>
                <w:b/>
              </w:rPr>
              <w:t>ie</w:t>
            </w:r>
            <w:r w:rsidRPr="003204D3">
              <w:rPr>
                <w:rFonts w:ascii="Times New Roman" w:hAnsi="Times New Roman"/>
                <w:b/>
              </w:rPr>
              <w:t xml:space="preserve"> prac</w:t>
            </w:r>
            <w:r w:rsidR="00C20C71" w:rsidRPr="003204D3">
              <w:rPr>
                <w:rFonts w:ascii="Times New Roman" w:hAnsi="Times New Roman"/>
                <w:b/>
              </w:rPr>
              <w:t xml:space="preserve"> Rady Ministrów</w:t>
            </w:r>
            <w:r w:rsidR="00517E74" w:rsidRPr="003204D3">
              <w:rPr>
                <w:rFonts w:ascii="Times New Roman" w:hAnsi="Times New Roman"/>
                <w:b/>
              </w:rPr>
              <w:t>:</w:t>
            </w:r>
            <w:r w:rsidR="00C913A8" w:rsidRPr="003204D3">
              <w:rPr>
                <w:rFonts w:ascii="Times New Roman" w:hAnsi="Times New Roman"/>
                <w:b/>
              </w:rPr>
              <w:t xml:space="preserve"> </w:t>
            </w:r>
            <w:r w:rsidR="00C913A8" w:rsidRPr="003204D3">
              <w:rPr>
                <w:rFonts w:ascii="Times New Roman" w:hAnsi="Times New Roman"/>
                <w:color w:val="000000"/>
              </w:rPr>
              <w:t>UD116</w:t>
            </w:r>
          </w:p>
          <w:p w:rsidR="002D04B3" w:rsidRPr="003204D3" w:rsidRDefault="002D04B3" w:rsidP="00BF18E1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3204D3" w:rsidRDefault="006A701A" w:rsidP="00BF18E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6A701A" w:rsidRPr="003204D3" w:rsidRDefault="006A701A" w:rsidP="00BA4EBE">
            <w:pPr>
              <w:spacing w:line="280" w:lineRule="atLeast"/>
              <w:jc w:val="center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>OCENA SKUTKÓW REGULACJI</w:t>
            </w:r>
          </w:p>
        </w:tc>
      </w:tr>
      <w:tr w:rsidR="00242CEF" w:rsidRPr="003204D3" w:rsidTr="00826C55">
        <w:trPr>
          <w:trHeight w:val="333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6A701A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1. </w:t>
            </w:r>
            <w:r w:rsidR="003D12F6" w:rsidRPr="003204D3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3204D3">
              <w:rPr>
                <w:rFonts w:ascii="Times New Roman" w:hAnsi="Times New Roman"/>
                <w:b/>
              </w:rPr>
              <w:t>rozwiązywany?</w:t>
            </w:r>
            <w:bookmarkStart w:id="1" w:name="Wybór1"/>
            <w:bookmarkEnd w:id="1"/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FFFFFF"/>
          </w:tcPr>
          <w:p w:rsidR="00803532" w:rsidRPr="00204CD8" w:rsidRDefault="0093542B" w:rsidP="0093542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W obecnie funkcjonującym modelu ochrony zdrowia pacjent stracił poczucie bezpieczeństwa i orientacji w systemie.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Zachwiana została zasada udzielania świadczeń zdrowotnych w sposób kompleksowy i ciągły. Okresowe postępowania konkursowe, dotyczące wyodrębnionych zakresów/profili świadczeń oraz systemy rozliczeń tych wyodrębnionych zakresów/profili oparte, co do zasady, na modelu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fee-for-service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oraz systemie rozliczeń Jednorodnych Grup Pacjentów, promowały, zamiast kompleksowości, fragmentację procesu udzielania świadczeń. W efekcie zasadnicze znacznie uzyskiwało rozliczenie wyodrębnionego zakresu/profilu świadczeń – stanowiącego od strony klinicznej tylko jeden z elementów procesu leczenia – kosztem udzielania świadczeń w sposób skoordynowany, gdzie pacjent miałby zapewniony dostęp do kompleksowych świadczeń zdrowotnych, obejmujących nie poszczególne procedury ale cały cykl leczenia. Należy zauważyć, że dotyczy to zarówno koordynacji świadczeń udzielanych w ramach poszczególnych zakresów świadczeń, jak i pomiędzy zakresami (np. leczeniem szpitalnym i ambulatoryjnym leczeniem specjalistycznym). Konsekwencją takich zasad zawierania umów jest więc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swoiste rozmycie wyraźnie niegdyś wyodrębnionych poziomów opieki szpitalnej i specjalistycznej. Stan taki utrudnia świadome i racjonalne kształtowanie właściwego zabezpieczenia dostępu do świadczeń w tym zakresie. </w:t>
            </w:r>
            <w:r>
              <w:rPr>
                <w:rFonts w:ascii="Times New Roman" w:hAnsi="Times New Roman"/>
              </w:rPr>
              <w:t xml:space="preserve">Ze względu na </w:t>
            </w:r>
            <w:r w:rsidR="00347907">
              <w:rPr>
                <w:rFonts w:ascii="Times New Roman" w:hAnsi="Times New Roman"/>
              </w:rPr>
              <w:t xml:space="preserve">konkursowy charakter wyboru świadczeniodawców, </w:t>
            </w:r>
            <w:r w:rsidR="008B00B5" w:rsidRPr="003204D3">
              <w:rPr>
                <w:rFonts w:ascii="Times New Roman" w:hAnsi="Times New Roman"/>
              </w:rPr>
              <w:t xml:space="preserve">po stronie szpitali </w:t>
            </w:r>
            <w:r w:rsidR="00347907">
              <w:rPr>
                <w:rFonts w:ascii="Times New Roman" w:hAnsi="Times New Roman"/>
              </w:rPr>
              <w:t xml:space="preserve">występuje </w:t>
            </w:r>
            <w:r w:rsidR="008B00B5" w:rsidRPr="003204D3">
              <w:rPr>
                <w:rFonts w:ascii="Times New Roman" w:hAnsi="Times New Roman"/>
              </w:rPr>
              <w:t>permanentny stan niepewności co do przyszłych warunków f</w:t>
            </w:r>
            <w:r w:rsidR="004A4FE0" w:rsidRPr="003204D3">
              <w:rPr>
                <w:rFonts w:ascii="Times New Roman" w:hAnsi="Times New Roman"/>
              </w:rPr>
              <w:t>inansowania ich działalności,</w:t>
            </w:r>
            <w:r w:rsidR="008B00B5" w:rsidRPr="003204D3">
              <w:rPr>
                <w:rFonts w:ascii="Times New Roman" w:hAnsi="Times New Roman"/>
              </w:rPr>
              <w:t xml:space="preserve"> utrudnia</w:t>
            </w:r>
            <w:r w:rsidR="004A4FE0" w:rsidRPr="003204D3">
              <w:rPr>
                <w:rFonts w:ascii="Times New Roman" w:hAnsi="Times New Roman"/>
              </w:rPr>
              <w:t>jąc racjonalną politykę inwestycyjną i</w:t>
            </w:r>
            <w:r w:rsidR="008B00B5" w:rsidRPr="003204D3">
              <w:rPr>
                <w:rFonts w:ascii="Times New Roman" w:hAnsi="Times New Roman"/>
              </w:rPr>
              <w:t xml:space="preserve"> długofalową politykę kadrową, a także przyczynia</w:t>
            </w:r>
            <w:r w:rsidR="004A4FE0" w:rsidRPr="003204D3">
              <w:rPr>
                <w:rFonts w:ascii="Times New Roman" w:hAnsi="Times New Roman"/>
              </w:rPr>
              <w:t>jąc</w:t>
            </w:r>
            <w:r w:rsidR="008B00B5" w:rsidRPr="003204D3">
              <w:rPr>
                <w:rFonts w:ascii="Times New Roman" w:hAnsi="Times New Roman"/>
              </w:rPr>
              <w:t xml:space="preserve"> się do marnotrawstwa zasobów.</w:t>
            </w:r>
            <w:r w:rsidR="004A4FE0" w:rsidRPr="003204D3">
              <w:rPr>
                <w:rFonts w:ascii="Times New Roman" w:hAnsi="Times New Roman"/>
              </w:rPr>
              <w:t xml:space="preserve"> Brak jest również</w:t>
            </w:r>
            <w:r w:rsidR="00CC73B6" w:rsidRPr="003204D3">
              <w:rPr>
                <w:rFonts w:ascii="Times New Roman" w:hAnsi="Times New Roman"/>
              </w:rPr>
              <w:t xml:space="preserve"> wystarczających mechanizmów sprzyjających integracji </w:t>
            </w:r>
            <w:r w:rsidR="004A4FE0" w:rsidRPr="003204D3">
              <w:rPr>
                <w:rFonts w:ascii="Times New Roman" w:hAnsi="Times New Roman"/>
              </w:rPr>
              <w:t xml:space="preserve">specjalistycznych </w:t>
            </w:r>
            <w:r w:rsidR="00CC73B6" w:rsidRPr="003204D3">
              <w:rPr>
                <w:rFonts w:ascii="Times New Roman" w:hAnsi="Times New Roman"/>
              </w:rPr>
              <w:t>świadczeń opieki zdrowotnej na poziomie szpitalnym i ambulatoryjnym.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6A701A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  <w:spacing w:val="-2"/>
              </w:rPr>
              <w:t xml:space="preserve">2. </w:t>
            </w:r>
            <w:r w:rsidR="0013216E" w:rsidRPr="003204D3">
              <w:rPr>
                <w:rFonts w:ascii="Times New Roman" w:hAnsi="Times New Roman"/>
                <w:b/>
                <w:spacing w:val="-2"/>
              </w:rPr>
              <w:t>Rekomendowane rozwiązanie, w tym planowane narzędzia interwencji, i oczekiwany efekt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auto"/>
          </w:tcPr>
          <w:p w:rsidR="00E55D19" w:rsidRPr="003204D3" w:rsidRDefault="008B00B5" w:rsidP="00BA4EBE">
            <w:pPr>
              <w:spacing w:line="280" w:lineRule="atLeast"/>
              <w:jc w:val="both"/>
              <w:rPr>
                <w:rFonts w:ascii="Times New Roman" w:hAnsi="Times New Roman"/>
                <w:bCs/>
              </w:rPr>
            </w:pPr>
            <w:r w:rsidRPr="003204D3">
              <w:rPr>
                <w:rFonts w:ascii="Times New Roman" w:hAnsi="Times New Roman"/>
                <w:bCs/>
              </w:rPr>
              <w:t>Projektowana ustawa wprowadza do systemu opieki zdrowotnej nową instytuc</w:t>
            </w:r>
            <w:r w:rsidR="009E7500" w:rsidRPr="003204D3">
              <w:rPr>
                <w:rFonts w:ascii="Times New Roman" w:hAnsi="Times New Roman"/>
                <w:bCs/>
              </w:rPr>
              <w:t xml:space="preserve">ję prawną w postaci </w:t>
            </w:r>
            <w:r w:rsidR="00BF18E1" w:rsidRPr="003204D3">
              <w:rPr>
                <w:rFonts w:ascii="Times New Roman" w:hAnsi="Times New Roman"/>
                <w:szCs w:val="24"/>
              </w:rPr>
              <w:t>systemu podstawowego, szpitalnego zabezpieczenia świadczeń opieki zdrowotnej</w:t>
            </w:r>
            <w:r w:rsidR="00BF18E1" w:rsidRPr="003204D3">
              <w:rPr>
                <w:rFonts w:ascii="Times New Roman" w:hAnsi="Times New Roman"/>
                <w:bCs/>
              </w:rPr>
              <w:t>, zwanego dalej „</w:t>
            </w:r>
            <w:r w:rsidR="00BF18E1" w:rsidRPr="003204D3">
              <w:rPr>
                <w:rFonts w:ascii="Times New Roman" w:hAnsi="Times New Roman"/>
                <w:szCs w:val="24"/>
              </w:rPr>
              <w:t>systemem zabezpieczenia</w:t>
            </w:r>
            <w:r w:rsidR="00BF18E1" w:rsidRPr="003204D3">
              <w:rPr>
                <w:rFonts w:ascii="Times New Roman" w:hAnsi="Times New Roman"/>
                <w:bCs/>
              </w:rPr>
              <w:t>”</w:t>
            </w:r>
            <w:r w:rsidR="00C03B6E" w:rsidRPr="003204D3">
              <w:rPr>
                <w:rFonts w:ascii="Times New Roman" w:hAnsi="Times New Roman"/>
                <w:bCs/>
              </w:rPr>
              <w:t>,</w:t>
            </w:r>
            <w:r w:rsidR="009E7500" w:rsidRPr="003204D3">
              <w:rPr>
                <w:rFonts w:ascii="Times New Roman" w:hAnsi="Times New Roman"/>
                <w:bCs/>
              </w:rPr>
              <w:t xml:space="preserve"> który powinien</w:t>
            </w:r>
            <w:r w:rsidRPr="003204D3">
              <w:rPr>
                <w:rFonts w:ascii="Times New Roman" w:hAnsi="Times New Roman"/>
                <w:bCs/>
              </w:rPr>
              <w:t xml:space="preserve"> być główną formą zabezpieczenia dostępu do świadczeń opieki zdrowotnej z zakresu lecze</w:t>
            </w:r>
            <w:r w:rsidR="00CC73B6" w:rsidRPr="003204D3">
              <w:rPr>
                <w:rFonts w:ascii="Times New Roman" w:hAnsi="Times New Roman"/>
                <w:bCs/>
              </w:rPr>
              <w:t>nia szpitalnego</w:t>
            </w:r>
            <w:r w:rsidR="00BF18E1" w:rsidRPr="003204D3">
              <w:rPr>
                <w:rFonts w:ascii="Times New Roman" w:hAnsi="Times New Roman"/>
                <w:bCs/>
              </w:rPr>
              <w:t xml:space="preserve"> oraz ambulatoryjnej opieki specjalistycznej realizowanej w przychodniach przyszpitalnych.</w:t>
            </w:r>
            <w:r w:rsidR="00E55D19" w:rsidRPr="003204D3">
              <w:rPr>
                <w:rFonts w:ascii="Times New Roman" w:hAnsi="Times New Roman"/>
                <w:bCs/>
              </w:rPr>
              <w:t xml:space="preserve"> Zawieranie umów na udzielanie</w:t>
            </w:r>
            <w:r w:rsidR="00CC73B6" w:rsidRPr="003204D3">
              <w:rPr>
                <w:rFonts w:ascii="Times New Roman" w:hAnsi="Times New Roman"/>
                <w:bCs/>
              </w:rPr>
              <w:t xml:space="preserve"> </w:t>
            </w:r>
            <w:r w:rsidRPr="003204D3">
              <w:rPr>
                <w:rFonts w:ascii="Times New Roman" w:hAnsi="Times New Roman"/>
                <w:bCs/>
              </w:rPr>
              <w:t xml:space="preserve">tych świadczeń </w:t>
            </w:r>
            <w:r w:rsidR="00E55D19" w:rsidRPr="003204D3">
              <w:rPr>
                <w:rFonts w:ascii="Times New Roman" w:hAnsi="Times New Roman"/>
                <w:bCs/>
              </w:rPr>
              <w:t xml:space="preserve">opieki zdrowotnej </w:t>
            </w:r>
            <w:r w:rsidRPr="003204D3">
              <w:rPr>
                <w:rFonts w:ascii="Times New Roman" w:hAnsi="Times New Roman"/>
                <w:bCs/>
              </w:rPr>
              <w:t xml:space="preserve">na </w:t>
            </w:r>
            <w:r w:rsidR="00E55D19" w:rsidRPr="003204D3">
              <w:rPr>
                <w:rFonts w:ascii="Times New Roman" w:hAnsi="Times New Roman"/>
                <w:bCs/>
              </w:rPr>
              <w:t>dotychczasowych zasadach</w:t>
            </w:r>
            <w:r w:rsidRPr="003204D3">
              <w:rPr>
                <w:rFonts w:ascii="Times New Roman" w:hAnsi="Times New Roman"/>
                <w:bCs/>
              </w:rPr>
              <w:t>, a więc w drodze konkursów ofert lub rokowań, powinno pozostać jedynie jako rozwiązan</w:t>
            </w:r>
            <w:r w:rsidR="00CC73B6" w:rsidRPr="003204D3">
              <w:rPr>
                <w:rFonts w:ascii="Times New Roman" w:hAnsi="Times New Roman"/>
                <w:bCs/>
              </w:rPr>
              <w:t xml:space="preserve">ie o charakterze subsydiarnym. </w:t>
            </w:r>
          </w:p>
          <w:p w:rsidR="008B00B5" w:rsidRPr="003204D3" w:rsidRDefault="00BF18E1" w:rsidP="00BA4EBE">
            <w:pPr>
              <w:spacing w:line="280" w:lineRule="atLeast"/>
              <w:jc w:val="both"/>
              <w:rPr>
                <w:rFonts w:ascii="Times New Roman" w:hAnsi="Times New Roman"/>
                <w:bCs/>
              </w:rPr>
            </w:pPr>
            <w:r w:rsidRPr="003204D3">
              <w:rPr>
                <w:rFonts w:ascii="Times New Roman" w:hAnsi="Times New Roman"/>
              </w:rPr>
              <w:t xml:space="preserve">W ramach </w:t>
            </w:r>
            <w:r w:rsidRPr="003204D3">
              <w:rPr>
                <w:rFonts w:ascii="Times New Roman" w:hAnsi="Times New Roman"/>
                <w:szCs w:val="24"/>
              </w:rPr>
              <w:t>system</w:t>
            </w:r>
            <w:r w:rsidR="00347907">
              <w:rPr>
                <w:rFonts w:ascii="Times New Roman" w:hAnsi="Times New Roman"/>
                <w:szCs w:val="24"/>
              </w:rPr>
              <w:t>u</w:t>
            </w:r>
            <w:r w:rsidRPr="003204D3">
              <w:rPr>
                <w:rFonts w:ascii="Times New Roman" w:hAnsi="Times New Roman"/>
                <w:szCs w:val="24"/>
              </w:rPr>
              <w:t xml:space="preserve"> zabezpieczenia</w:t>
            </w:r>
            <w:r w:rsidRPr="003204D3">
              <w:rPr>
                <w:rFonts w:ascii="Times New Roman" w:hAnsi="Times New Roman"/>
                <w:bCs/>
              </w:rPr>
              <w:t xml:space="preserve"> </w:t>
            </w:r>
            <w:r w:rsidR="008B00B5" w:rsidRPr="003204D3">
              <w:rPr>
                <w:rFonts w:ascii="Times New Roman" w:hAnsi="Times New Roman"/>
                <w:bCs/>
              </w:rPr>
              <w:t>zostanie wyodrębnionych sześć poziomów zabe</w:t>
            </w:r>
            <w:r w:rsidR="00CC73B6" w:rsidRPr="003204D3">
              <w:rPr>
                <w:rFonts w:ascii="Times New Roman" w:hAnsi="Times New Roman"/>
                <w:bCs/>
              </w:rPr>
              <w:t>zpieczenia</w:t>
            </w:r>
            <w:r w:rsidR="008B00B5" w:rsidRPr="003204D3">
              <w:rPr>
                <w:rFonts w:ascii="Times New Roman" w:hAnsi="Times New Roman"/>
                <w:bCs/>
              </w:rPr>
              <w:t xml:space="preserve">, począwszy od poziomu lokalnego, aż po poziom świadczeń udzielanych przez podmioty o randze instytutów. Podmioty mogące udzielać świadczeń </w:t>
            </w:r>
            <w:r w:rsidR="00CC73B6" w:rsidRPr="003204D3">
              <w:rPr>
                <w:rFonts w:ascii="Times New Roman" w:hAnsi="Times New Roman"/>
                <w:bCs/>
              </w:rPr>
              <w:t xml:space="preserve">opieki zdrowotnej </w:t>
            </w:r>
            <w:r w:rsidRPr="003204D3">
              <w:rPr>
                <w:rFonts w:ascii="Times New Roman" w:hAnsi="Times New Roman"/>
                <w:bCs/>
              </w:rPr>
              <w:t xml:space="preserve">w ramach </w:t>
            </w:r>
            <w:r w:rsidRPr="003204D3">
              <w:rPr>
                <w:rFonts w:ascii="Times New Roman" w:hAnsi="Times New Roman"/>
                <w:szCs w:val="24"/>
              </w:rPr>
              <w:t>system</w:t>
            </w:r>
            <w:r w:rsidR="00347907">
              <w:rPr>
                <w:rFonts w:ascii="Times New Roman" w:hAnsi="Times New Roman"/>
                <w:szCs w:val="24"/>
              </w:rPr>
              <w:t>u</w:t>
            </w:r>
            <w:r w:rsidRPr="003204D3">
              <w:rPr>
                <w:rFonts w:ascii="Times New Roman" w:hAnsi="Times New Roman"/>
                <w:szCs w:val="24"/>
              </w:rPr>
              <w:t xml:space="preserve"> zabezpieczenia</w:t>
            </w:r>
            <w:r w:rsidR="008B00B5" w:rsidRPr="003204D3">
              <w:rPr>
                <w:rFonts w:ascii="Times New Roman" w:hAnsi="Times New Roman"/>
                <w:bCs/>
              </w:rPr>
              <w:t xml:space="preserve"> zostaną przyporządkowan</w:t>
            </w:r>
            <w:r w:rsidR="00347907">
              <w:rPr>
                <w:rFonts w:ascii="Times New Roman" w:hAnsi="Times New Roman"/>
                <w:bCs/>
              </w:rPr>
              <w:t>e</w:t>
            </w:r>
            <w:r w:rsidR="008B00B5" w:rsidRPr="003204D3">
              <w:rPr>
                <w:rFonts w:ascii="Times New Roman" w:hAnsi="Times New Roman"/>
                <w:bCs/>
              </w:rPr>
              <w:t xml:space="preserve"> do jednego z poziomów zabezpieczenia, w zależności od stopnia i rodzaju specjalizacji. </w:t>
            </w:r>
          </w:p>
          <w:p w:rsidR="008B00B5" w:rsidRPr="003204D3" w:rsidRDefault="008B00B5" w:rsidP="00BA4EBE">
            <w:pPr>
              <w:tabs>
                <w:tab w:val="left" w:pos="2406"/>
              </w:tabs>
              <w:spacing w:line="280" w:lineRule="atLeast"/>
              <w:jc w:val="both"/>
              <w:rPr>
                <w:rFonts w:ascii="Times New Roman" w:hAnsi="Times New Roman"/>
                <w:bCs/>
              </w:rPr>
            </w:pPr>
            <w:r w:rsidRPr="003204D3">
              <w:rPr>
                <w:rFonts w:ascii="Times New Roman" w:hAnsi="Times New Roman"/>
                <w:bCs/>
              </w:rPr>
              <w:t xml:space="preserve">Świadczeniodawca zakwalifikowany do danego poziomu będzie miał </w:t>
            </w:r>
            <w:r w:rsidR="0098465E" w:rsidRPr="003204D3">
              <w:rPr>
                <w:rFonts w:ascii="Times New Roman" w:hAnsi="Times New Roman"/>
                <w:bCs/>
              </w:rPr>
              <w:t>zagwarantowane zawarcie umowy o udzielanie świadczeń opieki zdrowotnej</w:t>
            </w:r>
            <w:r w:rsidRPr="003204D3">
              <w:rPr>
                <w:rFonts w:ascii="Times New Roman" w:hAnsi="Times New Roman"/>
                <w:bCs/>
              </w:rPr>
              <w:t xml:space="preserve"> z Narodow</w:t>
            </w:r>
            <w:r w:rsidR="00BF18E1" w:rsidRPr="003204D3">
              <w:rPr>
                <w:rFonts w:ascii="Times New Roman" w:hAnsi="Times New Roman"/>
                <w:bCs/>
              </w:rPr>
              <w:t xml:space="preserve">ym Funduszem Zdrowia, </w:t>
            </w:r>
            <w:r w:rsidR="00C03B6E" w:rsidRPr="003204D3">
              <w:rPr>
                <w:rFonts w:ascii="Times New Roman" w:hAnsi="Times New Roman"/>
                <w:bCs/>
              </w:rPr>
              <w:t xml:space="preserve">zwanym dalej „NFZ”, </w:t>
            </w:r>
            <w:r w:rsidR="00BF18E1" w:rsidRPr="003204D3">
              <w:rPr>
                <w:rFonts w:ascii="Times New Roman" w:hAnsi="Times New Roman"/>
                <w:bCs/>
              </w:rPr>
              <w:t xml:space="preserve">w ramach </w:t>
            </w:r>
            <w:r w:rsidR="00BF18E1" w:rsidRPr="003204D3">
              <w:rPr>
                <w:rFonts w:ascii="Times New Roman" w:hAnsi="Times New Roman"/>
                <w:szCs w:val="24"/>
              </w:rPr>
              <w:t>system</w:t>
            </w:r>
            <w:r w:rsidR="00347907">
              <w:rPr>
                <w:rFonts w:ascii="Times New Roman" w:hAnsi="Times New Roman"/>
                <w:szCs w:val="24"/>
              </w:rPr>
              <w:t>u</w:t>
            </w:r>
            <w:r w:rsidR="00BF18E1" w:rsidRPr="003204D3">
              <w:rPr>
                <w:rFonts w:ascii="Times New Roman" w:hAnsi="Times New Roman"/>
                <w:szCs w:val="24"/>
              </w:rPr>
              <w:t xml:space="preserve"> zabezpieczenia</w:t>
            </w:r>
            <w:r w:rsidR="00347907">
              <w:rPr>
                <w:rFonts w:ascii="Times New Roman" w:hAnsi="Times New Roman"/>
                <w:bCs/>
              </w:rPr>
              <w:t>.</w:t>
            </w:r>
            <w:r w:rsidRPr="003204D3">
              <w:rPr>
                <w:rFonts w:ascii="Times New Roman" w:hAnsi="Times New Roman"/>
                <w:bCs/>
              </w:rPr>
              <w:t xml:space="preserve"> </w:t>
            </w:r>
            <w:r w:rsidR="00347907">
              <w:rPr>
                <w:rFonts w:ascii="Times New Roman" w:hAnsi="Times New Roman"/>
                <w:bCs/>
              </w:rPr>
              <w:t>S</w:t>
            </w:r>
            <w:r w:rsidRPr="003204D3">
              <w:rPr>
                <w:rFonts w:ascii="Times New Roman" w:hAnsi="Times New Roman"/>
                <w:bCs/>
              </w:rPr>
              <w:t xml:space="preserve">zczegółowy zakres </w:t>
            </w:r>
            <w:r w:rsidR="00347907">
              <w:rPr>
                <w:rFonts w:ascii="Times New Roman" w:hAnsi="Times New Roman"/>
                <w:bCs/>
              </w:rPr>
              <w:t xml:space="preserve">umowy </w:t>
            </w:r>
            <w:r w:rsidRPr="003204D3">
              <w:rPr>
                <w:rFonts w:ascii="Times New Roman" w:hAnsi="Times New Roman"/>
                <w:bCs/>
              </w:rPr>
              <w:t xml:space="preserve">będzie uzależniony od jego potencjału.          </w:t>
            </w:r>
          </w:p>
          <w:p w:rsidR="00BC4224" w:rsidRPr="003204D3" w:rsidRDefault="008B00B5" w:rsidP="00BA4EBE">
            <w:pPr>
              <w:tabs>
                <w:tab w:val="left" w:pos="2406"/>
              </w:tabs>
              <w:spacing w:line="280" w:lineRule="atLeast"/>
              <w:jc w:val="both"/>
              <w:rPr>
                <w:rFonts w:ascii="Times New Roman" w:hAnsi="Times New Roman"/>
                <w:bCs/>
              </w:rPr>
            </w:pPr>
            <w:r w:rsidRPr="003204D3">
              <w:rPr>
                <w:rFonts w:ascii="Times New Roman" w:hAnsi="Times New Roman"/>
                <w:bCs/>
              </w:rPr>
              <w:t xml:space="preserve">W zakresie świadczeń objętych </w:t>
            </w:r>
            <w:r w:rsidR="0098465E" w:rsidRPr="003204D3">
              <w:rPr>
                <w:rFonts w:ascii="Times New Roman" w:hAnsi="Times New Roman"/>
                <w:bCs/>
              </w:rPr>
              <w:t>umową zawartą</w:t>
            </w:r>
            <w:r w:rsidR="00BF18E1" w:rsidRPr="003204D3">
              <w:rPr>
                <w:rFonts w:ascii="Times New Roman" w:hAnsi="Times New Roman"/>
                <w:bCs/>
              </w:rPr>
              <w:t xml:space="preserve"> w ramach </w:t>
            </w:r>
            <w:r w:rsidR="008540B8" w:rsidRPr="003204D3">
              <w:rPr>
                <w:rFonts w:ascii="Times New Roman" w:hAnsi="Times New Roman"/>
                <w:szCs w:val="24"/>
              </w:rPr>
              <w:t>systemu</w:t>
            </w:r>
            <w:r w:rsidR="00BF18E1" w:rsidRPr="003204D3">
              <w:rPr>
                <w:rFonts w:ascii="Times New Roman" w:hAnsi="Times New Roman"/>
                <w:szCs w:val="24"/>
              </w:rPr>
              <w:t xml:space="preserve"> zabezpieczenia</w:t>
            </w:r>
            <w:r w:rsidRPr="003204D3">
              <w:rPr>
                <w:rFonts w:ascii="Times New Roman" w:hAnsi="Times New Roman"/>
                <w:bCs/>
              </w:rPr>
              <w:t xml:space="preserve"> przyjęta zostanie nowa forma rozliczenia kosztów udzielanych świadczeń, w postaci ryczałtu na dany rok. </w:t>
            </w:r>
          </w:p>
          <w:p w:rsidR="00803532" w:rsidRPr="003204D3" w:rsidRDefault="008B00B5" w:rsidP="00803532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204D3">
              <w:rPr>
                <w:rFonts w:ascii="Times New Roman" w:hAnsi="Times New Roman"/>
                <w:bCs/>
              </w:rPr>
              <w:t>Obok świadczeń z zakresu leczenia szpitalnego</w:t>
            </w:r>
            <w:r w:rsidR="00347907">
              <w:rPr>
                <w:rFonts w:ascii="Times New Roman" w:hAnsi="Times New Roman"/>
                <w:bCs/>
              </w:rPr>
              <w:t>,</w:t>
            </w:r>
            <w:r w:rsidRPr="003204D3">
              <w:rPr>
                <w:rFonts w:ascii="Times New Roman" w:hAnsi="Times New Roman"/>
                <w:bCs/>
              </w:rPr>
              <w:t xml:space="preserve"> kontraktowanie i roz</w:t>
            </w:r>
            <w:r w:rsidR="00F81D29" w:rsidRPr="003204D3">
              <w:rPr>
                <w:rFonts w:ascii="Times New Roman" w:hAnsi="Times New Roman"/>
                <w:bCs/>
              </w:rPr>
              <w:t>liczanie świadczeń na zasada</w:t>
            </w:r>
            <w:r w:rsidR="00BF18E1" w:rsidRPr="003204D3">
              <w:rPr>
                <w:rFonts w:ascii="Times New Roman" w:hAnsi="Times New Roman"/>
                <w:bCs/>
              </w:rPr>
              <w:t xml:space="preserve">ch </w:t>
            </w:r>
            <w:r w:rsidR="00BF18E1" w:rsidRPr="003204D3">
              <w:rPr>
                <w:rFonts w:ascii="Times New Roman" w:hAnsi="Times New Roman"/>
                <w:szCs w:val="24"/>
              </w:rPr>
              <w:t>system</w:t>
            </w:r>
            <w:r w:rsidR="00347907">
              <w:rPr>
                <w:rFonts w:ascii="Times New Roman" w:hAnsi="Times New Roman"/>
                <w:szCs w:val="24"/>
              </w:rPr>
              <w:t>u</w:t>
            </w:r>
            <w:r w:rsidR="00BF18E1" w:rsidRPr="003204D3">
              <w:rPr>
                <w:rFonts w:ascii="Times New Roman" w:hAnsi="Times New Roman"/>
                <w:szCs w:val="24"/>
              </w:rPr>
              <w:t xml:space="preserve"> zabezpieczenia</w:t>
            </w:r>
            <w:r w:rsidRPr="003204D3">
              <w:rPr>
                <w:rFonts w:ascii="Times New Roman" w:hAnsi="Times New Roman"/>
                <w:bCs/>
              </w:rPr>
              <w:t xml:space="preserve"> obejmie także </w:t>
            </w:r>
            <w:r w:rsidR="00CB5FFD">
              <w:rPr>
                <w:rFonts w:ascii="Times New Roman" w:hAnsi="Times New Roman"/>
                <w:bCs/>
              </w:rPr>
              <w:t xml:space="preserve">świadczenia wysokospecjalistyczne, </w:t>
            </w:r>
            <w:r w:rsidRPr="003204D3">
              <w:rPr>
                <w:rFonts w:ascii="Times New Roman" w:hAnsi="Times New Roman"/>
                <w:bCs/>
              </w:rPr>
              <w:t xml:space="preserve">specjalistyczne świadczenia ambulatoryjne udzielane w </w:t>
            </w:r>
            <w:r w:rsidR="00CB5FFD">
              <w:rPr>
                <w:rFonts w:ascii="Times New Roman" w:hAnsi="Times New Roman"/>
                <w:bCs/>
              </w:rPr>
              <w:t>odpowiednich poradniach</w:t>
            </w:r>
            <w:r w:rsidRPr="003204D3">
              <w:rPr>
                <w:rFonts w:ascii="Times New Roman" w:hAnsi="Times New Roman"/>
                <w:bCs/>
              </w:rPr>
              <w:t xml:space="preserve"> przyszpita</w:t>
            </w:r>
            <w:r w:rsidR="00CB5FFD">
              <w:rPr>
                <w:rFonts w:ascii="Times New Roman" w:hAnsi="Times New Roman"/>
                <w:bCs/>
              </w:rPr>
              <w:t>lnych, świadczenia rehabilitacji leczniczej oraz świadczenia nocnej i świątecznej opieki zdrowotnej</w:t>
            </w:r>
            <w:r w:rsidR="00E55D19" w:rsidRPr="003204D3">
              <w:rPr>
                <w:rFonts w:ascii="Times New Roman" w:hAnsi="Times New Roman"/>
                <w:bCs/>
              </w:rPr>
              <w:t>, co przyczyni się do poprawy jakości opieki nad pacjentem, poprzez zwiększony stopień koordynacji i integracji tej opieki.</w:t>
            </w:r>
          </w:p>
          <w:p w:rsidR="001536C3" w:rsidRPr="00CE474F" w:rsidRDefault="001536C3" w:rsidP="001536C3">
            <w:pPr>
              <w:spacing w:line="240" w:lineRule="auto"/>
              <w:jc w:val="both"/>
              <w:rPr>
                <w:rFonts w:ascii="Times New Roman" w:hAnsi="Times New Roman"/>
                <w:b/>
                <w:strike/>
              </w:rPr>
            </w:pPr>
          </w:p>
        </w:tc>
      </w:tr>
      <w:tr w:rsidR="00242CEF" w:rsidRPr="003204D3" w:rsidTr="00826C55">
        <w:trPr>
          <w:trHeight w:val="307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6A701A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  <w:spacing w:val="-2"/>
              </w:rPr>
              <w:t xml:space="preserve">3. </w:t>
            </w:r>
            <w:r w:rsidR="009E3C4B" w:rsidRPr="003204D3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3204D3">
              <w:rPr>
                <w:rFonts w:ascii="Times New Roman" w:hAnsi="Times New Roman"/>
                <w:b/>
              </w:rPr>
              <w:t>?</w:t>
            </w:r>
            <w:r w:rsidR="006A701A" w:rsidRPr="003204D3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auto"/>
          </w:tcPr>
          <w:p w:rsidR="00007793" w:rsidRPr="003204D3" w:rsidRDefault="001F7C1D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lastRenderedPageBreak/>
              <w:t xml:space="preserve">W państwach członkowskich UE istnieją rozmaite modele relacji pomiędzy płatnikami publicznymi a świadczeniodawcami opieki szpitalnej. </w:t>
            </w:r>
            <w:r w:rsidR="007E1543" w:rsidRPr="003204D3">
              <w:rPr>
                <w:rFonts w:ascii="Times New Roman" w:hAnsi="Times New Roman"/>
                <w:spacing w:val="-2"/>
              </w:rPr>
              <w:t>Trudno b</w:t>
            </w:r>
            <w:r w:rsidR="00007793" w:rsidRPr="003204D3">
              <w:rPr>
                <w:rFonts w:ascii="Times New Roman" w:hAnsi="Times New Roman"/>
                <w:spacing w:val="-2"/>
              </w:rPr>
              <w:t>yłoby wyróżnić określony model zdecydowanie dominujący. Można jednak s</w:t>
            </w:r>
            <w:r w:rsidR="00CC73B6" w:rsidRPr="003204D3">
              <w:rPr>
                <w:rFonts w:ascii="Times New Roman" w:hAnsi="Times New Roman"/>
                <w:spacing w:val="-2"/>
              </w:rPr>
              <w:t xml:space="preserve">twierdzić, że </w:t>
            </w:r>
            <w:r w:rsidR="00007793" w:rsidRPr="003204D3">
              <w:rPr>
                <w:rFonts w:ascii="Times New Roman" w:hAnsi="Times New Roman"/>
                <w:spacing w:val="-2"/>
              </w:rPr>
              <w:t xml:space="preserve">w zdecydowanej większości państw nie jest praktykowany wybór świadczeniodawców na zasadach konkursów ofert. </w:t>
            </w:r>
          </w:p>
          <w:p w:rsidR="00C07C77" w:rsidRPr="003204D3" w:rsidRDefault="00335A59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 xml:space="preserve">W pewnym stopniu propozycje zawarte w przedmiotowym projekcie korespondują z rozwiązaniami przyjętymi </w:t>
            </w:r>
            <w:r w:rsidR="00007793" w:rsidRPr="003204D3">
              <w:rPr>
                <w:rFonts w:ascii="Times New Roman" w:hAnsi="Times New Roman"/>
                <w:spacing w:val="-2"/>
              </w:rPr>
              <w:t>w państwach takich jak Niemcy i Austria.</w:t>
            </w:r>
          </w:p>
          <w:p w:rsidR="00335A59" w:rsidRPr="003204D3" w:rsidRDefault="00335A59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>W Niemczech do udzielania świadczeń szpitalnych w ramach systemu obowiązkowego ubezpieczenia zdrowotnego, a tym samym do otrzymywania refundacji kosztów tych świadczeń od kas chorych, są automatycznie uprawnione wszystkie szpitale ujęte w planach szpitali tworzonych przez władze każdego landu.</w:t>
            </w:r>
          </w:p>
          <w:p w:rsidR="009E7500" w:rsidRPr="003204D3" w:rsidRDefault="00335A59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>W Austrii istnieje ryczałtowa forma finansowania świadczenia szpitalnych, w postaci rocznych budżetów dla poszczególnych podmiotów, których wysokość uzależniona jest od wolumenu udzielonych świadczeń</w:t>
            </w:r>
            <w:r w:rsidR="00007793" w:rsidRPr="003204D3">
              <w:rPr>
                <w:rFonts w:ascii="Times New Roman" w:hAnsi="Times New Roman"/>
                <w:spacing w:val="-2"/>
              </w:rPr>
              <w:t xml:space="preserve"> w roku poprzedzającym.</w:t>
            </w:r>
          </w:p>
        </w:tc>
      </w:tr>
      <w:tr w:rsidR="00242CEF" w:rsidRPr="003204D3" w:rsidTr="00826C55">
        <w:trPr>
          <w:trHeight w:val="359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6A701A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4. </w:t>
            </w:r>
            <w:r w:rsidR="006A701A" w:rsidRPr="003204D3">
              <w:rPr>
                <w:rFonts w:ascii="Times New Roman" w:hAnsi="Times New Roman"/>
                <w:b/>
              </w:rPr>
              <w:t>Podmioty, na które oddziałuje projekt</w:t>
            </w:r>
          </w:p>
        </w:tc>
      </w:tr>
      <w:tr w:rsidR="00242CEF" w:rsidRPr="003204D3" w:rsidTr="00826C55">
        <w:trPr>
          <w:trHeight w:val="142"/>
        </w:trPr>
        <w:tc>
          <w:tcPr>
            <w:tcW w:w="1702" w:type="dxa"/>
            <w:shd w:val="clear" w:color="auto" w:fill="auto"/>
          </w:tcPr>
          <w:p w:rsidR="00260F33" w:rsidRPr="003204D3" w:rsidRDefault="00260F33" w:rsidP="00BA4EBE">
            <w:pPr>
              <w:spacing w:line="280" w:lineRule="atLeas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Grupa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60F33" w:rsidRPr="003204D3" w:rsidRDefault="00563199" w:rsidP="00BA4EBE">
            <w:pPr>
              <w:spacing w:line="280" w:lineRule="atLeas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Wielkość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60F33" w:rsidRPr="003204D3" w:rsidRDefault="00260F33" w:rsidP="00BA4EBE">
            <w:pPr>
              <w:spacing w:line="280" w:lineRule="atLeas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Źródło danych</w:t>
            </w:r>
            <w:r w:rsidRPr="003204D3" w:rsidDel="00260F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60F33" w:rsidRPr="003204D3" w:rsidRDefault="00260F33" w:rsidP="00BA4EBE">
            <w:pPr>
              <w:spacing w:line="280" w:lineRule="atLeas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Oddziaływanie</w:t>
            </w:r>
          </w:p>
        </w:tc>
      </w:tr>
      <w:tr w:rsidR="00242CEF" w:rsidRPr="003204D3" w:rsidTr="00826C55">
        <w:trPr>
          <w:trHeight w:val="142"/>
        </w:trPr>
        <w:tc>
          <w:tcPr>
            <w:tcW w:w="1702" w:type="dxa"/>
            <w:shd w:val="clear" w:color="auto" w:fill="auto"/>
          </w:tcPr>
          <w:p w:rsidR="00B6484A" w:rsidRPr="003204D3" w:rsidRDefault="00EA69EF" w:rsidP="004600E8">
            <w:pPr>
              <w:tabs>
                <w:tab w:val="right" w:pos="245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z w:val="20"/>
                <w:szCs w:val="20"/>
              </w:rPr>
              <w:t>Narodowy Fundusz Zdrowia</w:t>
            </w:r>
            <w:r w:rsidR="0060371C" w:rsidRPr="003204D3">
              <w:rPr>
                <w:rFonts w:ascii="Times New Roman" w:hAnsi="Times New Roman"/>
                <w:sz w:val="20"/>
                <w:szCs w:val="20"/>
              </w:rPr>
              <w:t xml:space="preserve"> (NFZ)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A27F9" w:rsidRPr="003204D3" w:rsidRDefault="008A27F9" w:rsidP="004600E8">
            <w:pPr>
              <w:spacing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8A27F9" w:rsidRPr="003204D3" w:rsidRDefault="001D4AD3" w:rsidP="00460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60F33" w:rsidRPr="003204D3" w:rsidRDefault="001D4AD3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Ustawa z dnia 27 sierpnia 2004 r. o świadczeniach opieki zdrowotnej finansowanych ze środków publicznych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60371C" w:rsidRPr="003204D3" w:rsidRDefault="0060371C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NFZ nie będzie organizował konkursów ofert w odniesieniu do zdecydowanej większości świadczeń szpitalnych</w:t>
            </w:r>
            <w:r w:rsidR="001D4AD3" w:rsidRPr="003204D3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EA69EF" w:rsidRPr="003204D3" w:rsidRDefault="0060371C" w:rsidP="004600E8">
            <w:pPr>
              <w:tabs>
                <w:tab w:val="left" w:pos="4270"/>
              </w:tabs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Dyrektorzy oddziałów wojewódzkich NFZ </w:t>
            </w:r>
            <w:r w:rsidR="002F0DE8" w:rsidRPr="003204D3">
              <w:rPr>
                <w:rFonts w:ascii="Times New Roman" w:hAnsi="Times New Roman"/>
                <w:spacing w:val="-2"/>
                <w:sz w:val="20"/>
                <w:szCs w:val="20"/>
              </w:rPr>
              <w:t>ogłaszać będą wykazy świadczeniodawców uprawnionych do</w:t>
            </w:r>
            <w:r w:rsidR="00BF18E1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udzielania świadczeń w ramach </w:t>
            </w:r>
            <w:r w:rsidR="00BF18E1" w:rsidRPr="00CB5FFD">
              <w:rPr>
                <w:rFonts w:ascii="Times New Roman" w:hAnsi="Times New Roman"/>
                <w:sz w:val="20"/>
                <w:szCs w:val="20"/>
              </w:rPr>
              <w:t>systemem zabezpieczenia</w:t>
            </w:r>
            <w:r w:rsidR="002F0DE8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</w:p>
          <w:p w:rsidR="00307DA3" w:rsidRPr="003204D3" w:rsidRDefault="00307DA3" w:rsidP="004600E8">
            <w:pPr>
              <w:tabs>
                <w:tab w:val="left" w:pos="4270"/>
              </w:tabs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242CEF" w:rsidRPr="003204D3" w:rsidTr="00826C55">
        <w:trPr>
          <w:trHeight w:val="142"/>
        </w:trPr>
        <w:tc>
          <w:tcPr>
            <w:tcW w:w="1702" w:type="dxa"/>
            <w:shd w:val="clear" w:color="auto" w:fill="auto"/>
          </w:tcPr>
          <w:p w:rsidR="00260F33" w:rsidRPr="003204D3" w:rsidRDefault="003C0364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Szpitale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60F33" w:rsidRPr="003204D3" w:rsidRDefault="00B34860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3C0364" w:rsidRPr="003204D3">
              <w:rPr>
                <w:rFonts w:ascii="Times New Roman" w:hAnsi="Times New Roman"/>
                <w:spacing w:val="-2"/>
                <w:sz w:val="20"/>
                <w:szCs w:val="20"/>
              </w:rPr>
              <w:t>1375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60F33" w:rsidRPr="003204D3" w:rsidRDefault="007944B6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Rejestr Podmiotów </w:t>
            </w:r>
            <w:r w:rsidR="00691F25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Wykonujących Działalność Leczniczą 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E0674" w:rsidRPr="003204D3" w:rsidRDefault="00CD24EB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W celu uzyskania prawa</w:t>
            </w:r>
            <w:r w:rsidR="00322EC8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udzielania świadczeń w ramach systemu zabezpieczenia</w:t>
            </w: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, które stanowić będzie główną formę zabezpieczenia świadczeń opieki zdrowotnej z zakresu leczenia szpitalnego, podmioty lecznicze będą musiały spełnić wymogi niezbędne dla zakw</w:t>
            </w:r>
            <w:r w:rsidR="00BF18E1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alifikowania do danego poziomu </w:t>
            </w:r>
            <w:r w:rsidR="00BF18E1" w:rsidRPr="00CB5FFD">
              <w:rPr>
                <w:rFonts w:ascii="Times New Roman" w:hAnsi="Times New Roman"/>
                <w:sz w:val="20"/>
                <w:szCs w:val="20"/>
              </w:rPr>
              <w:t>systemem zabezpieczenia</w:t>
            </w: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307DA3" w:rsidRPr="003204D3" w:rsidRDefault="00307DA3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242CEF" w:rsidRPr="003204D3" w:rsidTr="00826C55">
        <w:trPr>
          <w:trHeight w:val="142"/>
        </w:trPr>
        <w:tc>
          <w:tcPr>
            <w:tcW w:w="1702" w:type="dxa"/>
            <w:shd w:val="clear" w:color="auto" w:fill="auto"/>
          </w:tcPr>
          <w:p w:rsidR="00BA40B0" w:rsidRPr="003204D3" w:rsidRDefault="00CD24EB" w:rsidP="004600E8">
            <w:pPr>
              <w:spacing w:line="240" w:lineRule="auto"/>
              <w:rPr>
                <w:rStyle w:val="Teksttreci3"/>
                <w:rFonts w:eastAsia="Times New Roman"/>
                <w:sz w:val="20"/>
                <w:szCs w:val="20"/>
                <w:lang w:eastAsia="pl-PL"/>
              </w:rPr>
            </w:pPr>
            <w:r w:rsidRPr="003204D3">
              <w:rPr>
                <w:rStyle w:val="Teksttreci3"/>
                <w:rFonts w:eastAsia="Times New Roman"/>
                <w:sz w:val="20"/>
                <w:szCs w:val="20"/>
                <w:lang w:eastAsia="pl-PL"/>
              </w:rPr>
              <w:t xml:space="preserve">Świadczenio-biorcy </w:t>
            </w:r>
          </w:p>
          <w:p w:rsidR="00AE0674" w:rsidRPr="003204D3" w:rsidRDefault="00AE0674" w:rsidP="00460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40B0" w:rsidRPr="003204D3" w:rsidRDefault="00307DA3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ok. 35 mln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A40B0" w:rsidRPr="003F06C8" w:rsidRDefault="00307DA3" w:rsidP="004600E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3F06C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Centralny Wykaz Ubezpieczonych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E0674" w:rsidRPr="003204D3" w:rsidRDefault="00307DA3" w:rsidP="004600E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Świadczeniobiorcy uzyskają poprawę dostępu do świadczeń opieki zdrowotnej z zakresu leczenia szpitalnego. Odniosą także korzyści związane wyraźną poprawą koordynacji świadczeń szpitalnych i świadczeń </w:t>
            </w:r>
            <w:r w:rsidR="0098465E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ambulatoryjnej </w:t>
            </w: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>opieki</w:t>
            </w:r>
            <w:r w:rsidR="0098465E"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specjalistycznej</w:t>
            </w:r>
            <w:r w:rsidRPr="003204D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której konsekwencja powinna być ogólna poprawa jakości opieki zdrowotnej.    </w:t>
            </w:r>
          </w:p>
        </w:tc>
      </w:tr>
      <w:tr w:rsidR="00242CEF" w:rsidRPr="003204D3" w:rsidTr="00826C55">
        <w:trPr>
          <w:trHeight w:val="302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BA40B0" w:rsidRPr="00CB5FFD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FFD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="00BA40B0" w:rsidRPr="00CB5FFD">
              <w:rPr>
                <w:rFonts w:ascii="Times New Roman" w:hAnsi="Times New Roman"/>
                <w:b/>
                <w:sz w:val="20"/>
                <w:szCs w:val="20"/>
              </w:rPr>
              <w:t>Informacje na temat zakresu, czasu trwania i podsumowanie wyników konsultacji</w:t>
            </w:r>
          </w:p>
        </w:tc>
      </w:tr>
      <w:tr w:rsidR="00242CEF" w:rsidRPr="003204D3" w:rsidTr="00826C55">
        <w:trPr>
          <w:trHeight w:val="342"/>
        </w:trPr>
        <w:tc>
          <w:tcPr>
            <w:tcW w:w="11057" w:type="dxa"/>
            <w:gridSpan w:val="9"/>
            <w:shd w:val="clear" w:color="auto" w:fill="FFFFFF"/>
          </w:tcPr>
          <w:p w:rsidR="00C9550B" w:rsidRPr="003204D3" w:rsidRDefault="00C9550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>Odnośnie projektowanej ustawy nie były prowadzone tzw. pre-konsultacje.</w:t>
            </w:r>
          </w:p>
          <w:p w:rsidR="009D7497" w:rsidRPr="003204D3" w:rsidRDefault="009D7497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</w:rPr>
              <w:t xml:space="preserve">Projekt regulacji </w:t>
            </w:r>
            <w:r w:rsidR="0098465E" w:rsidRPr="003204D3">
              <w:rPr>
                <w:rFonts w:ascii="Times New Roman" w:hAnsi="Times New Roman"/>
              </w:rPr>
              <w:t>zosta</w:t>
            </w:r>
            <w:r w:rsidR="000602F1" w:rsidRPr="003204D3">
              <w:rPr>
                <w:rFonts w:ascii="Times New Roman" w:hAnsi="Times New Roman"/>
              </w:rPr>
              <w:t>ł</w:t>
            </w:r>
            <w:r w:rsidR="0098465E" w:rsidRPr="003204D3">
              <w:rPr>
                <w:rFonts w:ascii="Times New Roman" w:hAnsi="Times New Roman"/>
              </w:rPr>
              <w:t xml:space="preserve"> </w:t>
            </w:r>
            <w:r w:rsidRPr="003204D3">
              <w:rPr>
                <w:rFonts w:ascii="Times New Roman" w:hAnsi="Times New Roman"/>
              </w:rPr>
              <w:t>przekazany</w:t>
            </w:r>
            <w:r w:rsidR="001D4AD3" w:rsidRPr="003204D3">
              <w:rPr>
                <w:rFonts w:ascii="Times New Roman" w:hAnsi="Times New Roman"/>
              </w:rPr>
              <w:t xml:space="preserve"> na okres 30 dni</w:t>
            </w:r>
            <w:r w:rsidRPr="003204D3">
              <w:rPr>
                <w:rFonts w:ascii="Times New Roman" w:hAnsi="Times New Roman"/>
              </w:rPr>
              <w:t xml:space="preserve"> do opiniowania i konsultacji publicznych </w:t>
            </w:r>
            <w:r w:rsidR="0098465E" w:rsidRPr="003204D3">
              <w:rPr>
                <w:rFonts w:ascii="Times New Roman" w:hAnsi="Times New Roman"/>
              </w:rPr>
              <w:t xml:space="preserve">m.in. </w:t>
            </w:r>
            <w:r w:rsidRPr="003204D3">
              <w:rPr>
                <w:rFonts w:ascii="Times New Roman" w:hAnsi="Times New Roman"/>
              </w:rPr>
              <w:t>z następującymi podmiotami:</w:t>
            </w:r>
          </w:p>
          <w:p w:rsidR="00EF5030" w:rsidRPr="00CB5FFD" w:rsidRDefault="001D4AD3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Radą Dialogu Społecznego;</w:t>
            </w:r>
          </w:p>
          <w:p w:rsidR="00EF5030" w:rsidRPr="00CB5FFD" w:rsidRDefault="001D4AD3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 xml:space="preserve">Komisją Wspólną </w:t>
            </w:r>
            <w:r w:rsidR="0098465E" w:rsidRPr="00CB5FFD">
              <w:rPr>
                <w:rFonts w:ascii="Times New Roman" w:hAnsi="Times New Roman"/>
              </w:rPr>
              <w:t xml:space="preserve">Rządu </w:t>
            </w:r>
            <w:r w:rsidRPr="00CB5FFD">
              <w:rPr>
                <w:rFonts w:ascii="Times New Roman" w:hAnsi="Times New Roman"/>
              </w:rPr>
              <w:t>i Samorządu Terytorialnego;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Naczelną Radą Lekarską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Naczelną Radą Pielęgniarek i Położnych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Naczelną Radą Aptekarską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Krajową Radą Diagnostów Laboratoryjnych</w:t>
            </w:r>
            <w:r w:rsidR="003A1A98" w:rsidRPr="00CB5FFD">
              <w:rPr>
                <w:rFonts w:ascii="Times New Roman" w:hAnsi="Times New Roman"/>
              </w:rPr>
              <w:t>;</w:t>
            </w:r>
            <w:r w:rsidRPr="00CB5FFD">
              <w:rPr>
                <w:rFonts w:ascii="Times New Roman" w:hAnsi="Times New Roman"/>
              </w:rPr>
              <w:t xml:space="preserve"> 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Porozumieniem Pracodawców Ochrony Zdrowia</w:t>
            </w:r>
            <w:r w:rsidR="003A1A98" w:rsidRPr="00CB5FFD">
              <w:rPr>
                <w:rFonts w:ascii="Times New Roman" w:hAnsi="Times New Roman"/>
              </w:rPr>
              <w:t>;</w:t>
            </w:r>
            <w:r w:rsidRPr="00CB5FFD">
              <w:rPr>
                <w:rFonts w:ascii="Times New Roman" w:hAnsi="Times New Roman"/>
              </w:rPr>
              <w:t xml:space="preserve"> 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Style w:val="Teksttreci"/>
                <w:lang w:bidi="pa-IN"/>
              </w:rPr>
            </w:pPr>
            <w:r w:rsidRPr="00CB5FFD">
              <w:rPr>
                <w:rStyle w:val="Teksttreci"/>
              </w:rPr>
              <w:t>Federacją Związków Pracodawców Zakładów Opieki Zdrowotnej</w:t>
            </w:r>
            <w:r w:rsidR="003A1A98" w:rsidRPr="00CB5FFD">
              <w:rPr>
                <w:rStyle w:val="Teksttreci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Style w:val="Teksttreci"/>
                <w:lang w:bidi="pa-IN"/>
              </w:rPr>
            </w:pPr>
            <w:r w:rsidRPr="00CB5FFD">
              <w:rPr>
                <w:rStyle w:val="Teksttreci"/>
              </w:rPr>
              <w:t>Federacją Związków Pracodawców Ochrony Zdrowia „Porozumienie Zielonogórskie”</w:t>
            </w:r>
            <w:r w:rsidR="003A1A98" w:rsidRPr="00CB5FFD">
              <w:rPr>
                <w:rStyle w:val="Teksttreci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Style w:val="Teksttreci"/>
                <w:lang w:bidi="pa-IN"/>
              </w:rPr>
            </w:pPr>
            <w:r w:rsidRPr="00CB5FFD">
              <w:rPr>
                <w:rStyle w:val="Teksttreci"/>
              </w:rPr>
              <w:t xml:space="preserve">Związkiem Pracodawców Służby Zdrowia </w:t>
            </w:r>
            <w:r w:rsidRPr="00CB5FFD">
              <w:rPr>
                <w:rFonts w:ascii="Times New Roman" w:hAnsi="Times New Roman"/>
              </w:rPr>
              <w:t>Mini</w:t>
            </w:r>
            <w:r w:rsidRPr="00CB5FFD">
              <w:rPr>
                <w:rStyle w:val="Teksttreci"/>
              </w:rPr>
              <w:t>sterstwa Spraw Wewnętrznych</w:t>
            </w:r>
            <w:r w:rsidR="003A1A98" w:rsidRPr="00CB5FFD">
              <w:rPr>
                <w:rStyle w:val="Teksttreci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Style w:val="Teksttreci"/>
                <w:lang w:bidi="pa-IN"/>
              </w:rPr>
            </w:pPr>
            <w:r w:rsidRPr="00CB5FFD">
              <w:rPr>
                <w:rStyle w:val="Teksttreci"/>
              </w:rPr>
              <w:t>Ogólnopolskim Związkiem Pracodawców Samodzielnych Publicznych Szpitali Klinicznych</w:t>
            </w:r>
            <w:r w:rsidR="003A1A98" w:rsidRPr="00CB5FFD">
              <w:rPr>
                <w:rStyle w:val="Teksttreci"/>
              </w:rPr>
              <w:t>;</w:t>
            </w:r>
          </w:p>
          <w:p w:rsidR="00EF5030" w:rsidRPr="00CB5FFD" w:rsidRDefault="004E0713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shd w:val="clear" w:color="auto" w:fill="FFFFFF"/>
                <w:lang w:bidi="pa-IN"/>
              </w:rPr>
            </w:pPr>
            <w:r w:rsidRPr="00CB5FFD">
              <w:rPr>
                <w:rFonts w:ascii="Times New Roman" w:eastAsia="Times New Roman" w:hAnsi="Times New Roman"/>
                <w:bCs/>
                <w:lang w:eastAsia="pl-PL"/>
              </w:rPr>
              <w:t>Ogólnopolskim Związkiem Pracodawców Prywatnej Służby Zdrowia;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Style w:val="Teksttreci"/>
                <w:lang w:bidi="pa-IN"/>
              </w:rPr>
            </w:pPr>
            <w:r w:rsidRPr="00CB5FFD">
              <w:rPr>
                <w:rStyle w:val="Teksttreci"/>
              </w:rPr>
              <w:t>Pracodawcami Rzeczypospolitej Polskiej</w:t>
            </w:r>
            <w:r w:rsidR="003A1A98" w:rsidRPr="00CB5FFD">
              <w:rPr>
                <w:rStyle w:val="Teksttreci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Style w:val="Teksttreci"/>
                <w:lang w:bidi="pa-IN"/>
              </w:rPr>
            </w:pPr>
            <w:r w:rsidRPr="00CB5FFD">
              <w:rPr>
                <w:rStyle w:val="Teksttreci"/>
              </w:rPr>
              <w:t>Związkiem Pracodawców Opieki Psychiatrycznej i Leczenia Uzależnień</w:t>
            </w:r>
            <w:r w:rsidR="003A1A98" w:rsidRPr="00CB5FFD">
              <w:rPr>
                <w:rStyle w:val="Teksttreci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Forum Związków Zawodowych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Sekretariatem Ochrony Zdrowia KK NSZZ „Solidarność”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Krajowym Sekretariatem Ochrony Zdrowia NSZZ „Solidarność 80”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Ogólnopolskim Porozumieniem Związków Zawodowych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Ogólnopolskim Związkiem Zawodowym Pielęgniarek i Położnych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Ogólnopolskim Związkiem Zawodowym Lekarzy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Ogólnopolskim Związkiem Zawodowym Położnych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6A0290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Związkiem Powiatów Polskich;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Konferencja Rektorów Akademickich Uczelni Medycznych;</w:t>
            </w:r>
          </w:p>
          <w:p w:rsidR="00EF5030" w:rsidRPr="00CB5FFD" w:rsidRDefault="004E0713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Konwentem Marszałków Województw;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Konfederacją „Lewiatan”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D7497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Business Center Club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C9550B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Stowarzyszeniem „Dla Dobra Pacjenta”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C9550B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Liderem ruchu „Obywatele dla Zdrowia”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C9550B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Instytutem Praw Pacjenta i Edukacji Zdrowotnej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C9550B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Federacją Pacjentów Polskich</w:t>
            </w:r>
            <w:r w:rsidR="003A1A98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C9550B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Stowarzyszeniem Primum Non Nocere</w:t>
            </w:r>
            <w:r w:rsidR="0098465E" w:rsidRPr="00CB5FFD">
              <w:rPr>
                <w:rFonts w:ascii="Times New Roman" w:hAnsi="Times New Roman"/>
              </w:rPr>
              <w:t>;</w:t>
            </w:r>
          </w:p>
          <w:p w:rsidR="00EF5030" w:rsidRPr="00CB5FFD" w:rsidRDefault="0098465E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Rzecznikiem Praw Pacjenta;</w:t>
            </w:r>
          </w:p>
          <w:p w:rsidR="00EF5030" w:rsidRPr="00CB5FFD" w:rsidRDefault="0098465E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</w:rPr>
              <w:t>Generalnym Inspektorem Ochrony Danych Osobowych</w:t>
            </w:r>
            <w:r w:rsidR="008A6C31" w:rsidRPr="00CB5FFD">
              <w:rPr>
                <w:rFonts w:ascii="Times New Roman" w:hAnsi="Times New Roman"/>
              </w:rPr>
              <w:t>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"Centrum Zdrowia Matki Polki" w Łodzi;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Fizjologii i Patologii Słuchu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Gruźlicy i Chorób Płuc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Hematologii i Transfuzjologii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Kardiologii im. Prymasa Tysiąclecia Stefana Kardynała Wyszyńskiego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Matki i Dziecka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Medycyny Pracy im. prof. dra med. Jerzego Nofera w Łodzi;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Medycyny Pracy i Zdrowia Środowiskowego w Sosnowcu;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Medycyny Wsi im. Witolda Chodźki w Lublinie;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"Pomnik - Centrum Zdrowia Dziecka"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Psychiatrii i Neurologii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Instytutem Żywności i Żywienia im. prof. dra med. Aleksandra Szczygła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Narodowym Instytutem Geriatrii, Reumatologii i Rehabilitacji im. prof. dr hab. med. Eleonory Reicher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Narodowym Instytutem Leków w Warszawie;</w:t>
            </w:r>
          </w:p>
          <w:p w:rsidR="008A6C31" w:rsidRPr="00CB5FFD" w:rsidRDefault="008A6C31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Narodowym Insty</w:t>
            </w:r>
            <w:r w:rsidR="001536C3" w:rsidRPr="00CB5FFD">
              <w:rPr>
                <w:rFonts w:ascii="Times New Roman" w:hAnsi="Times New Roman"/>
                <w:lang w:bidi="pa-IN"/>
              </w:rPr>
              <w:t>tutem Zdrowia Publicznego – PZH;</w:t>
            </w:r>
          </w:p>
          <w:p w:rsidR="001536C3" w:rsidRPr="00CB5FFD" w:rsidRDefault="001536C3" w:rsidP="008A6C31">
            <w:pPr>
              <w:pStyle w:val="Akapitzlist"/>
              <w:numPr>
                <w:ilvl w:val="0"/>
                <w:numId w:val="32"/>
              </w:num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  <w:r w:rsidRPr="00CB5FFD">
              <w:rPr>
                <w:rFonts w:ascii="Times New Roman" w:hAnsi="Times New Roman"/>
                <w:lang w:bidi="pa-IN"/>
              </w:rPr>
              <w:t>Narodowym Funduszem Zdrowia.</w:t>
            </w:r>
          </w:p>
          <w:p w:rsidR="008A6C31" w:rsidRPr="00CB5FFD" w:rsidRDefault="008A6C31" w:rsidP="00CB5FFD">
            <w:pPr>
              <w:spacing w:line="280" w:lineRule="atLeast"/>
              <w:jc w:val="both"/>
              <w:rPr>
                <w:rFonts w:ascii="Times New Roman" w:hAnsi="Times New Roman"/>
                <w:lang w:bidi="pa-IN"/>
              </w:rPr>
            </w:pPr>
          </w:p>
          <w:p w:rsidR="00C9550B" w:rsidRPr="003204D3" w:rsidRDefault="00C9550B" w:rsidP="00BA4EBE">
            <w:pPr>
              <w:pStyle w:val="NIEARTTEKSTtekstnieartykuowanynppodstprawnarozplubpreambua"/>
              <w:spacing w:before="0" w:line="28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Wyniki opiniowania </w:t>
            </w:r>
            <w:r w:rsidR="00355DB8"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konsultacji publicznych </w:t>
            </w:r>
            <w:r w:rsidR="000602F1" w:rsidRPr="003204D3">
              <w:rPr>
                <w:rFonts w:ascii="Times New Roman" w:hAnsi="Times New Roman" w:cs="Times New Roman"/>
                <w:sz w:val="22"/>
                <w:szCs w:val="22"/>
              </w:rPr>
              <w:t>zostały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omówione w raporci</w:t>
            </w:r>
            <w:r w:rsidR="001B6301" w:rsidRPr="003204D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1D4AD3"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załączonym do niniejszej Oceny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3B6E" w:rsidRPr="003204D3" w:rsidRDefault="009D7497" w:rsidP="00BA4EBE">
            <w:pPr>
              <w:pStyle w:val="NIEARTTEKSTtekstnieartykuowanynppodstprawnarozplubpreambua"/>
              <w:spacing w:before="0" w:line="28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>Projekt zosta</w:t>
            </w:r>
            <w:r w:rsidR="00E02B7B" w:rsidRPr="003204D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="001D4AD3"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>opublikowany w Biuletynie Informacji Publicznej na stronie podmiotowej Ministra Zdrowia, zgodnie                  z przepisami ustawy z dnia 7 lipca 2005 r. o działalności lobbingowej w procesie stanowienia prawa (Dz. U. poz. 1414, z późn. zm</w:t>
            </w:r>
            <w:r w:rsidR="00B8027F" w:rsidRPr="003204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A1A98" w:rsidRPr="003204D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03B6E" w:rsidRPr="003204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40B0" w:rsidRPr="003204D3" w:rsidRDefault="009D7497" w:rsidP="00BA4EBE">
            <w:pPr>
              <w:pStyle w:val="NIEARTTEKSTtekstnieartykuowanynppodstprawnarozplubpreambua"/>
              <w:spacing w:before="0" w:line="28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>Projekt zosta</w:t>
            </w:r>
            <w:r w:rsidR="00E02B7B" w:rsidRPr="003204D3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="001D4AD3"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również udostępniony w Biuletynie Informacji Publicznej na stronie podmiotowej Rządowego Centrum Legislacji w serwisie „Rządowy Proces Legislacyjny”, zgodnie z uchwałą Nr 190 Rady Ministrów z dnia 29 października 2013 r. – Regulamin pracy Rady Ministrów (M. P. </w:t>
            </w:r>
            <w:r w:rsidR="00E02B7B" w:rsidRPr="003204D3">
              <w:rPr>
                <w:rFonts w:ascii="Times New Roman" w:hAnsi="Times New Roman" w:cs="Times New Roman"/>
                <w:sz w:val="22"/>
                <w:szCs w:val="22"/>
              </w:rPr>
              <w:t>z 2016</w:t>
            </w:r>
            <w:r w:rsidR="00C03B6E"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r. </w:t>
            </w:r>
            <w:r w:rsidR="00E02B7B" w:rsidRPr="003204D3">
              <w:rPr>
                <w:rFonts w:ascii="Times New Roman" w:hAnsi="Times New Roman" w:cs="Times New Roman"/>
                <w:sz w:val="22"/>
                <w:szCs w:val="22"/>
              </w:rPr>
              <w:t>poz. 1006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242CEF" w:rsidRPr="003204D3" w:rsidTr="00826C55">
        <w:trPr>
          <w:trHeight w:val="363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BA40B0" w:rsidRPr="003204D3" w:rsidRDefault="00BA40B0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242CEF" w:rsidRPr="003204D3">
              <w:rPr>
                <w:rFonts w:ascii="Times New Roman" w:hAnsi="Times New Roman"/>
                <w:b/>
              </w:rPr>
              <w:t xml:space="preserve">6. </w:t>
            </w:r>
            <w:r w:rsidRPr="003204D3">
              <w:rPr>
                <w:rFonts w:ascii="Times New Roman" w:hAnsi="Times New Roman"/>
                <w:b/>
              </w:rPr>
              <w:t>Wpływ na sektor finansów publicznych</w:t>
            </w:r>
          </w:p>
        </w:tc>
      </w:tr>
      <w:tr w:rsidR="00242CEF" w:rsidRPr="003204D3" w:rsidTr="009E7500">
        <w:trPr>
          <w:trHeight w:val="1085"/>
        </w:trPr>
        <w:tc>
          <w:tcPr>
            <w:tcW w:w="11057" w:type="dxa"/>
            <w:gridSpan w:val="9"/>
            <w:shd w:val="clear" w:color="auto" w:fill="FFFFFF"/>
            <w:vAlign w:val="center"/>
          </w:tcPr>
          <w:p w:rsidR="00B075CC" w:rsidRPr="00FC012D" w:rsidRDefault="009E7500" w:rsidP="00A20D71">
            <w:pPr>
              <w:spacing w:line="300" w:lineRule="atLeast"/>
              <w:jc w:val="both"/>
              <w:rPr>
                <w:rFonts w:ascii="Times New Roman" w:hAnsi="Times New Roman"/>
              </w:rPr>
            </w:pPr>
            <w:r w:rsidRPr="00CE474F">
              <w:rPr>
                <w:rFonts w:ascii="Times New Roman" w:hAnsi="Times New Roman"/>
              </w:rPr>
              <w:t>P</w:t>
            </w:r>
            <w:r w:rsidR="001B6301" w:rsidRPr="00CE474F">
              <w:rPr>
                <w:rFonts w:ascii="Times New Roman" w:hAnsi="Times New Roman"/>
              </w:rPr>
              <w:t xml:space="preserve">rojekt nie wpłynie na sektor finansów publicznych. Finansowanie świadczeń </w:t>
            </w:r>
            <w:r w:rsidR="00B9368A" w:rsidRPr="00CE474F">
              <w:rPr>
                <w:rFonts w:ascii="Times New Roman" w:hAnsi="Times New Roman"/>
              </w:rPr>
              <w:t>opieki zdrowotnej w ramach systemu zabezpieczenia będzie się odbywać tak jak dotychczas w ramach odpowiednich pozycji planu finansowego NFZ, tj. pozycji przeznaczonych na finansowani</w:t>
            </w:r>
            <w:r w:rsidR="00CE474F" w:rsidRPr="00CE474F">
              <w:rPr>
                <w:rFonts w:ascii="Times New Roman" w:hAnsi="Times New Roman"/>
              </w:rPr>
              <w:t xml:space="preserve">e świadczeń </w:t>
            </w:r>
            <w:r w:rsidR="00B9368A" w:rsidRPr="00CE474F">
              <w:rPr>
                <w:rFonts w:ascii="Times New Roman" w:hAnsi="Times New Roman"/>
              </w:rPr>
              <w:t xml:space="preserve">szpitalnych, </w:t>
            </w:r>
            <w:r w:rsidR="001B6301" w:rsidRPr="00CE474F">
              <w:rPr>
                <w:rFonts w:ascii="Times New Roman" w:hAnsi="Times New Roman"/>
              </w:rPr>
              <w:t>świadczeń ambulatoryjnej op</w:t>
            </w:r>
            <w:r w:rsidR="00322EC8" w:rsidRPr="00CE474F">
              <w:rPr>
                <w:rFonts w:ascii="Times New Roman" w:hAnsi="Times New Roman"/>
              </w:rPr>
              <w:t>ieki specjalistycznej</w:t>
            </w:r>
            <w:r w:rsidR="009B6C67">
              <w:rPr>
                <w:rFonts w:ascii="Times New Roman" w:hAnsi="Times New Roman"/>
              </w:rPr>
              <w:t xml:space="preserve"> (AOS)</w:t>
            </w:r>
            <w:r w:rsidR="00B9368A" w:rsidRPr="00CE474F">
              <w:rPr>
                <w:rFonts w:ascii="Times New Roman" w:hAnsi="Times New Roman"/>
              </w:rPr>
              <w:t>, świadczeń z z</w:t>
            </w:r>
            <w:r w:rsidR="007F5DE5" w:rsidRPr="00CE474F">
              <w:rPr>
                <w:rFonts w:ascii="Times New Roman" w:hAnsi="Times New Roman"/>
              </w:rPr>
              <w:t>akresu rehabilitacji leczniczej oraz</w:t>
            </w:r>
            <w:r w:rsidR="00B9368A" w:rsidRPr="00CE474F">
              <w:rPr>
                <w:rFonts w:ascii="Times New Roman" w:hAnsi="Times New Roman"/>
              </w:rPr>
              <w:t xml:space="preserve"> świadczeń z zakresu podstawowej opieki zdrowotnej. </w:t>
            </w:r>
            <w:r w:rsidR="00CE474F" w:rsidRPr="00A20D71">
              <w:rPr>
                <w:rFonts w:ascii="Times New Roman" w:hAnsi="Times New Roman"/>
              </w:rPr>
              <w:t>W przypadku leczenia szpitalnego, przyjmując rok 2015 za rok bazowy</w:t>
            </w:r>
            <w:r w:rsidR="00347907">
              <w:rPr>
                <w:rFonts w:ascii="Times New Roman" w:hAnsi="Times New Roman"/>
              </w:rPr>
              <w:t xml:space="preserve"> oraz przyjmując założenia zawarte w załączonych projektach rozporządzeń,</w:t>
            </w:r>
            <w:r w:rsidR="00CE474F" w:rsidRPr="00A20D71">
              <w:rPr>
                <w:rFonts w:ascii="Times New Roman" w:hAnsi="Times New Roman"/>
              </w:rPr>
              <w:t xml:space="preserve"> na finansowanie świadczeń w </w:t>
            </w:r>
            <w:r w:rsidR="009B6C67" w:rsidRPr="003204D3">
              <w:rPr>
                <w:rFonts w:ascii="Times New Roman" w:hAnsi="Times New Roman"/>
                <w:szCs w:val="24"/>
              </w:rPr>
              <w:t>system</w:t>
            </w:r>
            <w:r w:rsidR="00172125">
              <w:rPr>
                <w:rFonts w:ascii="Times New Roman" w:hAnsi="Times New Roman"/>
                <w:szCs w:val="24"/>
              </w:rPr>
              <w:t>i</w:t>
            </w:r>
            <w:r w:rsidR="009B6C67" w:rsidRPr="003204D3">
              <w:rPr>
                <w:rFonts w:ascii="Times New Roman" w:hAnsi="Times New Roman"/>
                <w:szCs w:val="24"/>
              </w:rPr>
              <w:t>e zabezpieczenia</w:t>
            </w:r>
            <w:r w:rsidR="009B6C67">
              <w:rPr>
                <w:rFonts w:ascii="Times New Roman" w:hAnsi="Times New Roman"/>
                <w:bCs/>
              </w:rPr>
              <w:t xml:space="preserve"> </w:t>
            </w:r>
            <w:r w:rsidR="00CE474F" w:rsidRPr="00A20D71">
              <w:rPr>
                <w:rFonts w:ascii="Times New Roman" w:hAnsi="Times New Roman"/>
              </w:rPr>
              <w:t xml:space="preserve">przypadałoby ok. 91% środków przewidzianych w planie finansowym NFZ na ten zakres świadczeń. W odniesieniu do świadczeń z zakresu AOS i rehabilitacji leczniczej </w:t>
            </w:r>
            <w:r w:rsidR="00CE474F" w:rsidRPr="00FC012D">
              <w:rPr>
                <w:rFonts w:ascii="Times New Roman" w:hAnsi="Times New Roman"/>
              </w:rPr>
              <w:t xml:space="preserve">odsetek ten wynosiłby odpowiednio 37% i 27%. </w:t>
            </w:r>
          </w:p>
          <w:p w:rsidR="00832276" w:rsidRDefault="00FC012D" w:rsidP="00A20D71">
            <w:pPr>
              <w:spacing w:line="300" w:lineRule="atLeast"/>
              <w:jc w:val="both"/>
              <w:rPr>
                <w:rFonts w:ascii="Times New Roman" w:hAnsi="Times New Roman"/>
              </w:rPr>
            </w:pPr>
            <w:r w:rsidRPr="00FC012D">
              <w:rPr>
                <w:rFonts w:ascii="Times New Roman" w:hAnsi="Times New Roman"/>
              </w:rPr>
              <w:t xml:space="preserve">Wśród podmiotów, które wchodzą </w:t>
            </w:r>
            <w:r>
              <w:rPr>
                <w:rFonts w:ascii="Times New Roman" w:hAnsi="Times New Roman"/>
              </w:rPr>
              <w:t>do systemu zabezpieczenia</w:t>
            </w:r>
            <w:r w:rsidRPr="00FC012D">
              <w:rPr>
                <w:rFonts w:ascii="Times New Roman" w:hAnsi="Times New Roman"/>
              </w:rPr>
              <w:t xml:space="preserve"> ok. 11% </w:t>
            </w:r>
            <w:r>
              <w:rPr>
                <w:rFonts w:ascii="Times New Roman" w:hAnsi="Times New Roman"/>
              </w:rPr>
              <w:t xml:space="preserve">liczby </w:t>
            </w:r>
            <w:r w:rsidRPr="00FC012D">
              <w:rPr>
                <w:rFonts w:ascii="Times New Roman" w:hAnsi="Times New Roman"/>
              </w:rPr>
              <w:t xml:space="preserve">podmiotów </w:t>
            </w:r>
            <w:r>
              <w:rPr>
                <w:rFonts w:ascii="Times New Roman" w:hAnsi="Times New Roman"/>
              </w:rPr>
              <w:t xml:space="preserve">jest </w:t>
            </w:r>
            <w:r w:rsidRPr="00FC012D">
              <w:rPr>
                <w:rFonts w:ascii="Times New Roman" w:hAnsi="Times New Roman"/>
              </w:rPr>
              <w:t>niepublicznych</w:t>
            </w:r>
            <w:r>
              <w:rPr>
                <w:rFonts w:ascii="Times New Roman" w:hAnsi="Times New Roman"/>
              </w:rPr>
              <w:t>, którym odpowiada ponad 4% wartości środków w ramach systemu zabezpieczenia. Odsetek podmiotów niepublicznych jest najwyższy na poziomie onkologicznym ok. 24% liczby podmiotów na tym poziomie, którym odpowiada ok. 15% środków na tym poziomie. Wysoki odsetek podmiotów niepublicznych jest również na poziomie pierwszym</w:t>
            </w:r>
            <w:r w:rsidR="00832276">
              <w:rPr>
                <w:rFonts w:ascii="Times New Roman" w:hAnsi="Times New Roman"/>
              </w:rPr>
              <w:t xml:space="preserve"> </w:t>
            </w:r>
            <w:r w:rsidR="00832276">
              <w:rPr>
                <w:rFonts w:ascii="Times New Roman" w:hAnsi="Times New Roman"/>
              </w:rPr>
              <w:t>ok.</w:t>
            </w:r>
            <w:r w:rsidR="00832276">
              <w:rPr>
                <w:rFonts w:ascii="Times New Roman" w:hAnsi="Times New Roman"/>
              </w:rPr>
              <w:t xml:space="preserve"> 19</w:t>
            </w:r>
            <w:r w:rsidR="00832276">
              <w:rPr>
                <w:rFonts w:ascii="Times New Roman" w:hAnsi="Times New Roman"/>
              </w:rPr>
              <w:t>% liczby podmiotów na tym poziomie, którym odpowiada ok. 15% środków na tym poziomie.</w:t>
            </w:r>
          </w:p>
          <w:p w:rsidR="00FC012D" w:rsidRPr="00FC012D" w:rsidRDefault="00832276" w:rsidP="00A20D71">
            <w:pPr>
              <w:spacing w:line="3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Udziały środków wyliczone są na podstawie danych sprawozdawczych z 2015 r.</w:t>
            </w:r>
            <w:bookmarkStart w:id="2" w:name="_GoBack"/>
            <w:bookmarkEnd w:id="2"/>
            <w:r w:rsidR="00FC012D">
              <w:rPr>
                <w:rFonts w:ascii="Times New Roman" w:hAnsi="Times New Roman"/>
              </w:rPr>
              <w:t xml:space="preserve">      </w:t>
            </w:r>
          </w:p>
          <w:p w:rsidR="00CE474F" w:rsidRPr="00172125" w:rsidRDefault="00B075CC" w:rsidP="00A20D71">
            <w:pPr>
              <w:spacing w:line="300" w:lineRule="atLeast"/>
              <w:jc w:val="both"/>
              <w:rPr>
                <w:rFonts w:ascii="Times New Roman" w:hAnsi="Times New Roman"/>
              </w:rPr>
            </w:pPr>
            <w:r w:rsidRPr="00FC012D">
              <w:rPr>
                <w:rFonts w:ascii="Times New Roman" w:hAnsi="Times New Roman"/>
              </w:rPr>
              <w:t xml:space="preserve">Natomiast </w:t>
            </w:r>
            <w:r w:rsidRPr="00FC012D">
              <w:rPr>
                <w:rFonts w:ascii="Times New Roman" w:hAnsi="Times New Roman"/>
                <w:bCs/>
              </w:rPr>
              <w:t>pozostaną bez zmian z</w:t>
            </w:r>
            <w:r w:rsidR="009B6C67" w:rsidRPr="00FC012D">
              <w:rPr>
                <w:rFonts w:ascii="Times New Roman" w:hAnsi="Times New Roman"/>
                <w:bCs/>
              </w:rPr>
              <w:t>akres</w:t>
            </w:r>
            <w:r w:rsidRPr="00FC012D">
              <w:rPr>
                <w:rFonts w:ascii="Times New Roman" w:hAnsi="Times New Roman"/>
                <w:bCs/>
              </w:rPr>
              <w:t>y</w:t>
            </w:r>
            <w:r w:rsidR="009B6C67" w:rsidRPr="00FC012D">
              <w:rPr>
                <w:rFonts w:ascii="Times New Roman" w:hAnsi="Times New Roman"/>
                <w:bCs/>
              </w:rPr>
              <w:t xml:space="preserve"> świadczeń</w:t>
            </w:r>
            <w:r w:rsidRPr="00FC012D">
              <w:rPr>
                <w:rFonts w:ascii="Times New Roman" w:hAnsi="Times New Roman"/>
                <w:bCs/>
              </w:rPr>
              <w:t>:</w:t>
            </w:r>
            <w:r w:rsidR="009B6C67" w:rsidRPr="00FC012D">
              <w:rPr>
                <w:rFonts w:ascii="Times New Roman" w:hAnsi="Times New Roman"/>
                <w:bCs/>
              </w:rPr>
              <w:t xml:space="preserve"> opieki psychiatrycznej i leczenia uzależnień</w:t>
            </w:r>
            <w:r>
              <w:rPr>
                <w:rFonts w:ascii="Times New Roman" w:hAnsi="Times New Roman"/>
                <w:bCs/>
              </w:rPr>
              <w:t>, opieki długoterminowej, paliatywnej i hospicyjnej oraz podstawowej opieki zdrowotnej z wyłączeniem nocnej pomocy lekarskiej.</w:t>
            </w:r>
            <w:r w:rsidR="009B6C67" w:rsidRPr="00172125">
              <w:rPr>
                <w:rFonts w:ascii="Times New Roman" w:hAnsi="Times New Roman"/>
                <w:bCs/>
              </w:rPr>
              <w:t xml:space="preserve"> </w:t>
            </w:r>
          </w:p>
          <w:p w:rsidR="00A20D71" w:rsidRPr="00A20D71" w:rsidRDefault="00A20D71" w:rsidP="00A20D71">
            <w:pPr>
              <w:spacing w:line="3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CE474F">
              <w:rPr>
                <w:rFonts w:ascii="Times New Roman" w:hAnsi="Times New Roman"/>
              </w:rPr>
              <w:t xml:space="preserve">rojektowana ustawa nie spowoduje </w:t>
            </w:r>
            <w:r>
              <w:rPr>
                <w:rFonts w:ascii="Times New Roman" w:hAnsi="Times New Roman"/>
              </w:rPr>
              <w:t xml:space="preserve">natomiast </w:t>
            </w:r>
            <w:r w:rsidRPr="00CE474F">
              <w:rPr>
                <w:rFonts w:ascii="Times New Roman" w:hAnsi="Times New Roman"/>
              </w:rPr>
              <w:t>dodatkowych kosztów dla NFZ.</w:t>
            </w:r>
          </w:p>
        </w:tc>
      </w:tr>
      <w:tr w:rsidR="00242CEF" w:rsidRPr="003204D3" w:rsidTr="00826C55">
        <w:trPr>
          <w:trHeight w:val="345"/>
        </w:trPr>
        <w:tc>
          <w:tcPr>
            <w:tcW w:w="11057" w:type="dxa"/>
            <w:gridSpan w:val="9"/>
            <w:shd w:val="clear" w:color="auto" w:fill="99CCFF"/>
          </w:tcPr>
          <w:p w:rsidR="00BA40B0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/>
              <w:jc w:val="both"/>
              <w:rPr>
                <w:rFonts w:ascii="Times New Roman" w:hAnsi="Times New Roman"/>
                <w:b/>
                <w:spacing w:val="-2"/>
              </w:rPr>
            </w:pPr>
            <w:r w:rsidRPr="003204D3">
              <w:rPr>
                <w:rFonts w:ascii="Times New Roman" w:hAnsi="Times New Roman"/>
                <w:b/>
                <w:spacing w:val="-2"/>
              </w:rPr>
              <w:lastRenderedPageBreak/>
              <w:t xml:space="preserve">7. </w:t>
            </w:r>
            <w:r w:rsidR="00BA40B0" w:rsidRPr="003204D3">
              <w:rPr>
                <w:rFonts w:ascii="Times New Roman" w:hAnsi="Times New Roman"/>
                <w:b/>
                <w:spacing w:val="-2"/>
              </w:rPr>
              <w:t xml:space="preserve">Wpływ na </w:t>
            </w:r>
            <w:r w:rsidR="00BA40B0" w:rsidRPr="003204D3">
              <w:rPr>
                <w:rFonts w:ascii="Times New Roman" w:hAnsi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62D03" w:rsidRPr="003204D3" w:rsidTr="00826C55">
        <w:trPr>
          <w:trHeight w:val="151"/>
        </w:trPr>
        <w:tc>
          <w:tcPr>
            <w:tcW w:w="11057" w:type="dxa"/>
            <w:gridSpan w:val="9"/>
            <w:shd w:val="clear" w:color="auto" w:fill="FFFFFF"/>
          </w:tcPr>
          <w:p w:rsidR="00562D03" w:rsidRPr="003204D3" w:rsidRDefault="00964C82" w:rsidP="008270C2">
            <w:pPr>
              <w:spacing w:line="280" w:lineRule="atLeast"/>
              <w:jc w:val="both"/>
              <w:rPr>
                <w:rFonts w:ascii="Times New Roman" w:hAnsi="Times New Roman"/>
                <w:szCs w:val="24"/>
              </w:rPr>
            </w:pPr>
            <w:r w:rsidRPr="003204D3">
              <w:rPr>
                <w:rFonts w:ascii="Times New Roman" w:hAnsi="Times New Roman"/>
              </w:rPr>
              <w:t xml:space="preserve">Projektowane przepisy zapewnią znacznej części podmiotów leczniczych większą stabilność finansową, ponieważ świadczeniodawcy zakwalifikowani do </w:t>
            </w:r>
            <w:r w:rsidRPr="003204D3">
              <w:rPr>
                <w:rFonts w:ascii="Times New Roman" w:hAnsi="Times New Roman"/>
                <w:szCs w:val="24"/>
              </w:rPr>
              <w:t>systemu zabezpieczenia uzyskają pewność zawarcia z nimi umów o udzielanie świadczeń opieki zdrowotnej i zostaną tym samym zwolnieni z konieczności ubiegania się o takie umowy w trybie konkursowym. Z drugiej strony takie rozwiązanie spowoduje z konieczności znaczne ograniczenie liczby ogłaszanych przez płatnika postępowań konkursowych, przede wszystkim w zakresie leczenia szpitalnego</w:t>
            </w:r>
            <w:r w:rsidR="00270F79">
              <w:rPr>
                <w:rFonts w:ascii="Times New Roman" w:hAnsi="Times New Roman"/>
                <w:szCs w:val="24"/>
              </w:rPr>
              <w:t>.</w:t>
            </w:r>
            <w:r w:rsidRPr="003204D3">
              <w:rPr>
                <w:rFonts w:ascii="Times New Roman" w:hAnsi="Times New Roman"/>
                <w:szCs w:val="24"/>
              </w:rPr>
              <w:t xml:space="preserve"> W konsekwencji podmioty lecznicze nie zakwalifikowane do system</w:t>
            </w:r>
            <w:r w:rsidR="00270F79">
              <w:rPr>
                <w:rFonts w:ascii="Times New Roman" w:hAnsi="Times New Roman"/>
                <w:szCs w:val="24"/>
              </w:rPr>
              <w:t>u</w:t>
            </w:r>
            <w:r w:rsidRPr="003204D3">
              <w:rPr>
                <w:rFonts w:ascii="Times New Roman" w:hAnsi="Times New Roman"/>
                <w:szCs w:val="24"/>
              </w:rPr>
              <w:t xml:space="preserve"> zabezpieczenia będą miały relatywnie mnie</w:t>
            </w:r>
            <w:r w:rsidR="008270C2" w:rsidRPr="003204D3">
              <w:rPr>
                <w:rFonts w:ascii="Times New Roman" w:hAnsi="Times New Roman"/>
                <w:szCs w:val="24"/>
              </w:rPr>
              <w:t>jszą</w:t>
            </w:r>
            <w:r w:rsidRPr="003204D3">
              <w:rPr>
                <w:rFonts w:ascii="Times New Roman" w:hAnsi="Times New Roman"/>
                <w:szCs w:val="24"/>
              </w:rPr>
              <w:t xml:space="preserve"> szansę na uzyskanie </w:t>
            </w:r>
            <w:r w:rsidR="008270C2" w:rsidRPr="003204D3">
              <w:rPr>
                <w:rFonts w:ascii="Times New Roman" w:hAnsi="Times New Roman"/>
                <w:szCs w:val="24"/>
              </w:rPr>
              <w:t xml:space="preserve">finansowania udzielanych przez siebie świadczeń ze środków publicznych. </w:t>
            </w:r>
            <w:r w:rsidR="00270F79">
              <w:rPr>
                <w:rFonts w:ascii="Times New Roman" w:hAnsi="Times New Roman"/>
                <w:szCs w:val="24"/>
              </w:rPr>
              <w:t>Należy jednak zaznaczyć, że w przypadku systemu zabezpieczenia mówimy o kluczowych dla bezpieczeństwa zdrowotnego obywateli podmiotach,</w:t>
            </w:r>
            <w:r w:rsidR="00626317">
              <w:rPr>
                <w:rFonts w:ascii="Times New Roman" w:hAnsi="Times New Roman"/>
                <w:szCs w:val="24"/>
              </w:rPr>
              <w:t>, które</w:t>
            </w:r>
            <w:r w:rsidR="00E53CBF">
              <w:rPr>
                <w:rFonts w:ascii="Times New Roman" w:hAnsi="Times New Roman"/>
                <w:szCs w:val="24"/>
              </w:rPr>
              <w:t xml:space="preserve">  ze względu na swoje znaczenie zostały uprzednio wyłonione w drodze konkursowej.</w:t>
            </w:r>
            <w:r w:rsidR="008270C2" w:rsidRPr="003204D3">
              <w:rPr>
                <w:rFonts w:ascii="Times New Roman" w:hAnsi="Times New Roman"/>
                <w:szCs w:val="24"/>
              </w:rPr>
              <w:t xml:space="preserve"> </w:t>
            </w:r>
            <w:r w:rsidR="00E53CBF">
              <w:rPr>
                <w:rFonts w:ascii="Times New Roman" w:hAnsi="Times New Roman"/>
                <w:szCs w:val="24"/>
              </w:rPr>
              <w:t xml:space="preserve">Ponadto trzeba zaznaczyć, że do „systemu zabezpieczenia” kwalifikowane są podmioty lecznicze bez względu na własność., w tym systemie będą zarówno podmioty publiczne jak i podmioty niepubliczne. </w:t>
            </w:r>
            <w:r w:rsidRPr="003204D3">
              <w:rPr>
                <w:rFonts w:ascii="Times New Roman" w:hAnsi="Times New Roman"/>
                <w:szCs w:val="24"/>
              </w:rPr>
              <w:t xml:space="preserve">    </w:t>
            </w:r>
          </w:p>
          <w:p w:rsidR="008270C2" w:rsidRPr="003204D3" w:rsidRDefault="008270C2" w:rsidP="008270C2">
            <w:pPr>
              <w:spacing w:line="280" w:lineRule="atLeast"/>
              <w:jc w:val="both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  <w:spacing w:val="-2"/>
              </w:rPr>
              <w:t xml:space="preserve">Wpływ projektowanej ustawy na warunki życia ogółu obywateli i rodzin będzie się wiązał z  poprawą dostępu do świadczeń opieki zdrowotnej z zakresu świadczeń szpitalnych i specjalistycznych świadczeń ambulatoryjnych oraz poprawą jakości tych świadczeń dzięki lepszej koordynacji między leczeniem szpitalnym i ambulatoryjnym.   </w:t>
            </w:r>
          </w:p>
        </w:tc>
      </w:tr>
      <w:tr w:rsidR="00242CEF" w:rsidRPr="003204D3" w:rsidTr="00826C55">
        <w:trPr>
          <w:trHeight w:val="342"/>
        </w:trPr>
        <w:tc>
          <w:tcPr>
            <w:tcW w:w="11057" w:type="dxa"/>
            <w:gridSpan w:val="9"/>
            <w:shd w:val="clear" w:color="auto" w:fill="99CCFF"/>
            <w:vAlign w:val="center"/>
          </w:tcPr>
          <w:p w:rsidR="00BA40B0" w:rsidRPr="003204D3" w:rsidRDefault="00BA40B0" w:rsidP="00BA4EBE">
            <w:pPr>
              <w:numPr>
                <w:ilvl w:val="0"/>
                <w:numId w:val="3"/>
              </w:numPr>
              <w:spacing w:line="280" w:lineRule="atLeast"/>
              <w:ind w:left="0" w:hanging="284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 </w:t>
            </w:r>
            <w:r w:rsidR="00242CEF" w:rsidRPr="003204D3">
              <w:rPr>
                <w:rFonts w:ascii="Times New Roman" w:hAnsi="Times New Roman"/>
                <w:b/>
              </w:rPr>
              <w:t xml:space="preserve">8. </w:t>
            </w:r>
            <w:r w:rsidRPr="003204D3">
              <w:rPr>
                <w:rFonts w:ascii="Times New Roman" w:hAnsi="Times New Roman"/>
                <w:b/>
              </w:rPr>
              <w:t>Zmiana obciążeń regulacyjnych (w tym obowiązków informacyjnych) wynikających z projektu</w:t>
            </w:r>
          </w:p>
        </w:tc>
      </w:tr>
      <w:tr w:rsidR="00242CEF" w:rsidRPr="003204D3" w:rsidTr="00826C55">
        <w:trPr>
          <w:trHeight w:val="151"/>
        </w:trPr>
        <w:tc>
          <w:tcPr>
            <w:tcW w:w="11057" w:type="dxa"/>
            <w:gridSpan w:val="9"/>
            <w:shd w:val="clear" w:color="auto" w:fill="FFFFFF"/>
          </w:tcPr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nie dotyczy</w:t>
            </w:r>
          </w:p>
        </w:tc>
      </w:tr>
      <w:tr w:rsidR="00242CEF" w:rsidRPr="003204D3" w:rsidTr="00826C55">
        <w:trPr>
          <w:trHeight w:val="946"/>
        </w:trPr>
        <w:tc>
          <w:tcPr>
            <w:tcW w:w="6663" w:type="dxa"/>
            <w:gridSpan w:val="6"/>
            <w:shd w:val="clear" w:color="auto" w:fill="FFFFFF"/>
          </w:tcPr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 xml:space="preserve">Wprowadzane są obciążenia poza bezwzględnie wymaganymi przez UE </w:t>
            </w:r>
            <w:r w:rsidRPr="003204D3">
              <w:rPr>
                <w:rFonts w:ascii="Times New Roman" w:hAnsi="Times New Roman"/>
              </w:rPr>
              <w:t>(szczegóły w odwróconej tabeli zgodności).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tak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nie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nie dotyczy</w:t>
            </w:r>
          </w:p>
        </w:tc>
      </w:tr>
      <w:tr w:rsidR="00242CEF" w:rsidRPr="003204D3" w:rsidTr="00826C55">
        <w:trPr>
          <w:trHeight w:val="1245"/>
        </w:trPr>
        <w:tc>
          <w:tcPr>
            <w:tcW w:w="6663" w:type="dxa"/>
            <w:gridSpan w:val="6"/>
            <w:shd w:val="clear" w:color="auto" w:fill="FFFFFF"/>
          </w:tcPr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 xml:space="preserve">zmniejszenie liczby dokumentów 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zmniejszenie liczby procedur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skrócenie czasu na załatwienie sprawy</w:t>
            </w:r>
          </w:p>
          <w:p w:rsidR="00BA40B0" w:rsidRPr="003204D3" w:rsidRDefault="004D29DB" w:rsidP="009A1655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9A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6E49A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inne:</w:t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</w:p>
          <w:p w:rsidR="009A1655" w:rsidRPr="003204D3" w:rsidRDefault="009A1655" w:rsidP="009A1655">
            <w:pPr>
              <w:spacing w:line="280" w:lineRule="atLeas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</w:tcPr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zwiększenie liczby dokumentów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zwiększenie liczby procedur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wydłużenie czasu na załatwienie sprawy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inne:</w:t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Pr="003F06C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FORMTEXT </w:instrText>
            </w:r>
            <w:r w:rsidRPr="003F06C8">
              <w:rPr>
                <w:rFonts w:ascii="Times New Roman" w:hAnsi="Times New Roman"/>
              </w:rPr>
            </w:r>
            <w:r w:rsidRPr="003F06C8">
              <w:rPr>
                <w:rFonts w:ascii="Times New Roman" w:hAnsi="Times New Roman"/>
              </w:rPr>
              <w:fldChar w:fldCharType="separate"/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Pr="003F06C8">
              <w:rPr>
                <w:rFonts w:ascii="Times New Roman" w:hAnsi="Times New Roman"/>
              </w:rPr>
              <w:fldChar w:fldCharType="end"/>
            </w:r>
          </w:p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</w:rPr>
            </w:pPr>
          </w:p>
        </w:tc>
      </w:tr>
      <w:tr w:rsidR="00242CEF" w:rsidRPr="003204D3" w:rsidTr="00826C55">
        <w:trPr>
          <w:trHeight w:val="870"/>
        </w:trPr>
        <w:tc>
          <w:tcPr>
            <w:tcW w:w="6663" w:type="dxa"/>
            <w:gridSpan w:val="6"/>
            <w:shd w:val="clear" w:color="auto" w:fill="FFFFFF"/>
          </w:tcPr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tak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nie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47F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nie dotyczy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BA40B0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9. </w:t>
            </w:r>
            <w:r w:rsidR="00BA40B0" w:rsidRPr="003204D3">
              <w:rPr>
                <w:rFonts w:ascii="Times New Roman" w:hAnsi="Times New Roman"/>
                <w:b/>
              </w:rPr>
              <w:t xml:space="preserve">Wpływ na rynek pracy 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auto"/>
          </w:tcPr>
          <w:p w:rsidR="00242CEF" w:rsidRPr="003204D3" w:rsidRDefault="00C976E5" w:rsidP="00BA4EBE">
            <w:pPr>
              <w:spacing w:line="280" w:lineRule="atLeast"/>
              <w:jc w:val="both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>Nie dotyczy.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BA40B0" w:rsidRPr="003204D3" w:rsidRDefault="00242CEF" w:rsidP="00BA4EBE">
            <w:pPr>
              <w:numPr>
                <w:ilvl w:val="0"/>
                <w:numId w:val="3"/>
              </w:numPr>
              <w:spacing w:line="28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</w:rPr>
              <w:t xml:space="preserve">10. </w:t>
            </w:r>
            <w:r w:rsidR="00BA40B0" w:rsidRPr="003204D3">
              <w:rPr>
                <w:rFonts w:ascii="Times New Roman" w:hAnsi="Times New Roman"/>
                <w:b/>
              </w:rPr>
              <w:t>Wpływ na pozostałe obszary</w:t>
            </w:r>
          </w:p>
        </w:tc>
      </w:tr>
      <w:tr w:rsidR="00242CEF" w:rsidRPr="003204D3" w:rsidTr="00826C55">
        <w:trPr>
          <w:trHeight w:val="421"/>
        </w:trPr>
        <w:tc>
          <w:tcPr>
            <w:tcW w:w="3660" w:type="dxa"/>
            <w:gridSpan w:val="4"/>
            <w:shd w:val="clear" w:color="auto" w:fill="FFFFFF"/>
          </w:tcPr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</w:rPr>
            </w:pP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środowisko naturalne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sytuacja i rozwój regionalny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 xml:space="preserve">inne: </w:t>
            </w:r>
            <w:r w:rsidRPr="003F06C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FORMTEXT </w:instrText>
            </w:r>
            <w:r w:rsidRPr="003F06C8">
              <w:rPr>
                <w:rFonts w:ascii="Times New Roman" w:hAnsi="Times New Roman"/>
              </w:rPr>
            </w:r>
            <w:r w:rsidRPr="003F06C8">
              <w:rPr>
                <w:rFonts w:ascii="Times New Roman" w:hAnsi="Times New Roman"/>
              </w:rPr>
              <w:fldChar w:fldCharType="separate"/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="00BA40B0" w:rsidRPr="003204D3">
              <w:rPr>
                <w:rFonts w:ascii="Times New Roman"/>
                <w:noProof/>
              </w:rPr>
              <w:t> </w:t>
            </w:r>
            <w:r w:rsidRPr="003F06C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87" w:type="dxa"/>
            <w:gridSpan w:val="4"/>
            <w:shd w:val="clear" w:color="auto" w:fill="FFFFFF"/>
          </w:tcPr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</w:rPr>
            </w:pP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demografia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mienie państwowe</w:t>
            </w:r>
          </w:p>
        </w:tc>
        <w:tc>
          <w:tcPr>
            <w:tcW w:w="3710" w:type="dxa"/>
            <w:shd w:val="clear" w:color="auto" w:fill="FFFFFF"/>
          </w:tcPr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</w:rPr>
            </w:pP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  <w:spacing w:val="-2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0B0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informatyzacja</w:t>
            </w:r>
          </w:p>
          <w:p w:rsidR="00BA40B0" w:rsidRPr="003204D3" w:rsidRDefault="004D29DB" w:rsidP="00BA4EBE">
            <w:pPr>
              <w:spacing w:line="280" w:lineRule="atLeast"/>
              <w:rPr>
                <w:rFonts w:ascii="Times New Roman" w:hAnsi="Times New Roman"/>
              </w:rPr>
            </w:pPr>
            <w:r w:rsidRPr="00CB5F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07C77" w:rsidRPr="003204D3">
              <w:rPr>
                <w:rFonts w:ascii="Times New Roman" w:hAnsi="Times New Roman"/>
              </w:rPr>
              <w:instrText xml:space="preserve"> FORMCHECKBOX </w:instrText>
            </w:r>
            <w:r w:rsidR="006E356B">
              <w:rPr>
                <w:rFonts w:ascii="Times New Roman" w:hAnsi="Times New Roman"/>
              </w:rPr>
            </w:r>
            <w:r w:rsidR="006E356B">
              <w:rPr>
                <w:rFonts w:ascii="Times New Roman" w:hAnsi="Times New Roman"/>
              </w:rPr>
              <w:fldChar w:fldCharType="separate"/>
            </w:r>
            <w:r w:rsidRPr="00CB5FFD">
              <w:rPr>
                <w:rFonts w:ascii="Times New Roman" w:hAnsi="Times New Roman"/>
              </w:rPr>
              <w:fldChar w:fldCharType="end"/>
            </w:r>
            <w:r w:rsidR="00BA40B0" w:rsidRPr="003204D3">
              <w:rPr>
                <w:rFonts w:ascii="Times New Roman" w:hAnsi="Times New Roman"/>
              </w:rPr>
              <w:t xml:space="preserve"> </w:t>
            </w:r>
            <w:r w:rsidR="00BA40B0" w:rsidRPr="003204D3">
              <w:rPr>
                <w:rFonts w:ascii="Times New Roman" w:hAnsi="Times New Roman"/>
                <w:spacing w:val="-2"/>
              </w:rPr>
              <w:t>zdrowie</w:t>
            </w:r>
          </w:p>
        </w:tc>
      </w:tr>
      <w:tr w:rsidR="00242CEF" w:rsidRPr="003204D3" w:rsidTr="00826C55">
        <w:trPr>
          <w:trHeight w:val="712"/>
        </w:trPr>
        <w:tc>
          <w:tcPr>
            <w:tcW w:w="2356" w:type="dxa"/>
            <w:gridSpan w:val="2"/>
            <w:shd w:val="clear" w:color="auto" w:fill="FFFFFF"/>
            <w:vAlign w:val="center"/>
          </w:tcPr>
          <w:p w:rsidR="00BA40B0" w:rsidRPr="003204D3" w:rsidRDefault="00BA40B0" w:rsidP="00BA4EBE">
            <w:pPr>
              <w:spacing w:line="280" w:lineRule="atLeast"/>
              <w:rPr>
                <w:rFonts w:ascii="Times New Roman" w:hAnsi="Times New Roman"/>
              </w:rPr>
            </w:pPr>
            <w:r w:rsidRPr="003204D3">
              <w:rPr>
                <w:rFonts w:ascii="Times New Roman" w:hAnsi="Times New Roman"/>
              </w:rPr>
              <w:t>Omówienie wpływu</w:t>
            </w:r>
          </w:p>
        </w:tc>
        <w:tc>
          <w:tcPr>
            <w:tcW w:w="8701" w:type="dxa"/>
            <w:gridSpan w:val="7"/>
            <w:shd w:val="clear" w:color="auto" w:fill="FFFFFF"/>
            <w:vAlign w:val="center"/>
          </w:tcPr>
          <w:p w:rsidR="00BA40B0" w:rsidRPr="003204D3" w:rsidRDefault="000602F1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>Poprawa dostępu</w:t>
            </w:r>
            <w:r w:rsidR="009A1655" w:rsidRPr="003204D3">
              <w:rPr>
                <w:rFonts w:ascii="Times New Roman" w:hAnsi="Times New Roman"/>
                <w:spacing w:val="-2"/>
              </w:rPr>
              <w:t xml:space="preserve"> do świadczeń opieki zdrowotnej z zakresu świadczeń szpitalnych i specjalistycznych świadczeń ambulatoryjnych oraz jakości tych świadczeń, w związku z poprawą koordynacji między leczeniem szpitalnym i ambulatoryjnym i ciągłości leczenia.   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BA40B0" w:rsidRPr="003204D3" w:rsidRDefault="00BA40B0" w:rsidP="00BA4EBE">
            <w:pPr>
              <w:pStyle w:val="Akapitzlist"/>
              <w:numPr>
                <w:ilvl w:val="0"/>
                <w:numId w:val="3"/>
              </w:numPr>
              <w:spacing w:line="280" w:lineRule="atLeast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FFFFFF"/>
          </w:tcPr>
          <w:p w:rsidR="009E7500" w:rsidRPr="003204D3" w:rsidRDefault="00A00A8C" w:rsidP="00A00A8C">
            <w:pPr>
              <w:pStyle w:val="PKTpunkt"/>
              <w:spacing w:line="28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>Przepisy pro</w:t>
            </w:r>
            <w:r w:rsidR="009E7500" w:rsidRPr="003204D3">
              <w:rPr>
                <w:rFonts w:ascii="Times New Roman" w:hAnsi="Times New Roman" w:cs="Times New Roman"/>
                <w:sz w:val="22"/>
                <w:szCs w:val="22"/>
              </w:rPr>
              <w:t>jektowanej ustawy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powinny wejść </w:t>
            </w:r>
            <w:r w:rsidR="005170B2"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w życie po upływie 14 dni od dnia ogłoszenia. </w:t>
            </w:r>
            <w:r w:rsidRPr="003204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BA40B0" w:rsidRPr="003204D3" w:rsidRDefault="00BA40B0" w:rsidP="00BA4EBE">
            <w:pPr>
              <w:pStyle w:val="Akapitzlist"/>
              <w:numPr>
                <w:ilvl w:val="0"/>
                <w:numId w:val="3"/>
              </w:numPr>
              <w:spacing w:line="280" w:lineRule="atLeast"/>
              <w:jc w:val="both"/>
              <w:rPr>
                <w:rFonts w:ascii="Times New Roman" w:hAnsi="Times New Roman"/>
                <w:b/>
              </w:rPr>
            </w:pPr>
            <w:r w:rsidRPr="003204D3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FFFFFF"/>
          </w:tcPr>
          <w:p w:rsidR="00BA40B0" w:rsidRPr="003204D3" w:rsidRDefault="00C879E7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>Nie dotyczy.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BA40B0" w:rsidRPr="003204D3" w:rsidRDefault="00BA40B0" w:rsidP="00BA4EBE">
            <w:pPr>
              <w:pStyle w:val="Akapitzlist"/>
              <w:numPr>
                <w:ilvl w:val="0"/>
                <w:numId w:val="3"/>
              </w:numPr>
              <w:spacing w:line="280" w:lineRule="atLeast"/>
              <w:jc w:val="both"/>
              <w:rPr>
                <w:rFonts w:ascii="Times New Roman" w:hAnsi="Times New Roman"/>
                <w:b/>
                <w:spacing w:val="-2"/>
              </w:rPr>
            </w:pPr>
            <w:r w:rsidRPr="003204D3">
              <w:rPr>
                <w:rFonts w:ascii="Times New Roman" w:hAnsi="Times New Roman"/>
                <w:b/>
                <w:spacing w:val="-2"/>
              </w:rPr>
              <w:t xml:space="preserve">Załączniki (istotne dokumenty źródłowe, badania, analizy itp.) </w:t>
            </w:r>
          </w:p>
        </w:tc>
      </w:tr>
      <w:tr w:rsidR="00242CEF" w:rsidRPr="003204D3" w:rsidTr="00826C55">
        <w:trPr>
          <w:trHeight w:val="142"/>
        </w:trPr>
        <w:tc>
          <w:tcPr>
            <w:tcW w:w="11057" w:type="dxa"/>
            <w:gridSpan w:val="9"/>
            <w:shd w:val="clear" w:color="auto" w:fill="99CCFF"/>
          </w:tcPr>
          <w:p w:rsidR="00C20C71" w:rsidRPr="003204D3" w:rsidRDefault="00C03B6E" w:rsidP="00BA4EBE">
            <w:pPr>
              <w:spacing w:line="280" w:lineRule="atLeast"/>
              <w:jc w:val="both"/>
              <w:rPr>
                <w:rFonts w:ascii="Times New Roman" w:hAnsi="Times New Roman"/>
                <w:spacing w:val="-2"/>
              </w:rPr>
            </w:pPr>
            <w:r w:rsidRPr="003204D3">
              <w:rPr>
                <w:rFonts w:ascii="Times New Roman" w:hAnsi="Times New Roman"/>
                <w:spacing w:val="-2"/>
              </w:rPr>
              <w:t>Raport z konsultacji publicznych i opiniowania.</w:t>
            </w:r>
          </w:p>
        </w:tc>
      </w:tr>
    </w:tbl>
    <w:p w:rsidR="006176ED" w:rsidRPr="003204D3" w:rsidRDefault="006176ED" w:rsidP="00BA4EBE">
      <w:pPr>
        <w:pStyle w:val="Nagwek1"/>
        <w:spacing w:before="0" w:after="0" w:line="280" w:lineRule="atLeast"/>
        <w:rPr>
          <w:rFonts w:ascii="Times New Roman" w:hAnsi="Times New Roman" w:cs="Times New Roman"/>
          <w:sz w:val="22"/>
          <w:szCs w:val="22"/>
        </w:rPr>
      </w:pPr>
    </w:p>
    <w:sectPr w:rsidR="006176ED" w:rsidRPr="003204D3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6B" w:rsidRDefault="006E356B" w:rsidP="00044739">
      <w:pPr>
        <w:spacing w:line="240" w:lineRule="auto"/>
      </w:pPr>
      <w:r>
        <w:separator/>
      </w:r>
    </w:p>
  </w:endnote>
  <w:endnote w:type="continuationSeparator" w:id="0">
    <w:p w:rsidR="006E356B" w:rsidRDefault="006E356B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6B" w:rsidRDefault="006E356B" w:rsidP="00044739">
      <w:pPr>
        <w:spacing w:line="240" w:lineRule="auto"/>
      </w:pPr>
      <w:r>
        <w:separator/>
      </w:r>
    </w:p>
  </w:footnote>
  <w:footnote w:type="continuationSeparator" w:id="0">
    <w:p w:rsidR="006E356B" w:rsidRDefault="006E356B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6E42"/>
    <w:multiLevelType w:val="hybridMultilevel"/>
    <w:tmpl w:val="3088602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4D276D1"/>
    <w:multiLevelType w:val="hybridMultilevel"/>
    <w:tmpl w:val="23E0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E7B"/>
    <w:multiLevelType w:val="hybridMultilevel"/>
    <w:tmpl w:val="6C2A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257D8"/>
    <w:multiLevelType w:val="hybridMultilevel"/>
    <w:tmpl w:val="3088602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8215FB"/>
    <w:multiLevelType w:val="hybridMultilevel"/>
    <w:tmpl w:val="D924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0C89"/>
    <w:multiLevelType w:val="hybridMultilevel"/>
    <w:tmpl w:val="3F7C0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35B2D"/>
    <w:multiLevelType w:val="hybridMultilevel"/>
    <w:tmpl w:val="73169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466D6"/>
    <w:multiLevelType w:val="hybridMultilevel"/>
    <w:tmpl w:val="42F88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1" w15:restartNumberingAfterBreak="0">
    <w:nsid w:val="49DE7C49"/>
    <w:multiLevelType w:val="hybridMultilevel"/>
    <w:tmpl w:val="80663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E56F9"/>
    <w:multiLevelType w:val="hybridMultilevel"/>
    <w:tmpl w:val="9BF69B2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3AD410A"/>
    <w:multiLevelType w:val="hybridMultilevel"/>
    <w:tmpl w:val="79D0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C24A0"/>
    <w:multiLevelType w:val="hybridMultilevel"/>
    <w:tmpl w:val="9792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7"/>
  </w:num>
  <w:num w:numId="5">
    <w:abstractNumId w:val="2"/>
  </w:num>
  <w:num w:numId="6">
    <w:abstractNumId w:val="9"/>
  </w:num>
  <w:num w:numId="7">
    <w:abstractNumId w:val="19"/>
  </w:num>
  <w:num w:numId="8">
    <w:abstractNumId w:val="6"/>
  </w:num>
  <w:num w:numId="9">
    <w:abstractNumId w:val="23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28"/>
  </w:num>
  <w:num w:numId="15">
    <w:abstractNumId w:val="24"/>
  </w:num>
  <w:num w:numId="16">
    <w:abstractNumId w:val="26"/>
  </w:num>
  <w:num w:numId="17">
    <w:abstractNumId w:val="7"/>
  </w:num>
  <w:num w:numId="18">
    <w:abstractNumId w:val="31"/>
  </w:num>
  <w:num w:numId="19">
    <w:abstractNumId w:val="32"/>
  </w:num>
  <w:num w:numId="20">
    <w:abstractNumId w:val="25"/>
  </w:num>
  <w:num w:numId="21">
    <w:abstractNumId w:val="8"/>
  </w:num>
  <w:num w:numId="22">
    <w:abstractNumId w:val="17"/>
  </w:num>
  <w:num w:numId="23">
    <w:abstractNumId w:val="18"/>
  </w:num>
  <w:num w:numId="24">
    <w:abstractNumId w:val="1"/>
  </w:num>
  <w:num w:numId="25">
    <w:abstractNumId w:val="11"/>
  </w:num>
  <w:num w:numId="26">
    <w:abstractNumId w:val="15"/>
  </w:num>
  <w:num w:numId="27">
    <w:abstractNumId w:val="21"/>
  </w:num>
  <w:num w:numId="28">
    <w:abstractNumId w:val="30"/>
  </w:num>
  <w:num w:numId="29">
    <w:abstractNumId w:val="22"/>
  </w:num>
  <w:num w:numId="30">
    <w:abstractNumId w:val="29"/>
  </w:num>
  <w:num w:numId="31">
    <w:abstractNumId w:val="10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7793"/>
    <w:rsid w:val="00012D11"/>
    <w:rsid w:val="00013EB5"/>
    <w:rsid w:val="00020286"/>
    <w:rsid w:val="00023836"/>
    <w:rsid w:val="00023AEF"/>
    <w:rsid w:val="00032374"/>
    <w:rsid w:val="000356A9"/>
    <w:rsid w:val="00043CB2"/>
    <w:rsid w:val="00044138"/>
    <w:rsid w:val="00044739"/>
    <w:rsid w:val="000451FF"/>
    <w:rsid w:val="00051637"/>
    <w:rsid w:val="00056681"/>
    <w:rsid w:val="000602F1"/>
    <w:rsid w:val="000648A7"/>
    <w:rsid w:val="0006618B"/>
    <w:rsid w:val="000670C0"/>
    <w:rsid w:val="00071B99"/>
    <w:rsid w:val="000751EF"/>
    <w:rsid w:val="000756E5"/>
    <w:rsid w:val="0007704E"/>
    <w:rsid w:val="00080EC8"/>
    <w:rsid w:val="000849AB"/>
    <w:rsid w:val="000878CE"/>
    <w:rsid w:val="00092139"/>
    <w:rsid w:val="00092D10"/>
    <w:rsid w:val="000944AC"/>
    <w:rsid w:val="00094CB9"/>
    <w:rsid w:val="000956B2"/>
    <w:rsid w:val="000969E7"/>
    <w:rsid w:val="0009752A"/>
    <w:rsid w:val="000A004B"/>
    <w:rsid w:val="000A2033"/>
    <w:rsid w:val="000A21B3"/>
    <w:rsid w:val="000A23DE"/>
    <w:rsid w:val="000A2D31"/>
    <w:rsid w:val="000A4020"/>
    <w:rsid w:val="000B28B2"/>
    <w:rsid w:val="000B54FB"/>
    <w:rsid w:val="000B701F"/>
    <w:rsid w:val="000C29B0"/>
    <w:rsid w:val="000C76FC"/>
    <w:rsid w:val="000D38FC"/>
    <w:rsid w:val="000D4D90"/>
    <w:rsid w:val="000E2D10"/>
    <w:rsid w:val="000E737D"/>
    <w:rsid w:val="000F3204"/>
    <w:rsid w:val="00101D53"/>
    <w:rsid w:val="001049DC"/>
    <w:rsid w:val="0010548B"/>
    <w:rsid w:val="001072D1"/>
    <w:rsid w:val="00110343"/>
    <w:rsid w:val="00117017"/>
    <w:rsid w:val="00130E8E"/>
    <w:rsid w:val="0013216E"/>
    <w:rsid w:val="00134456"/>
    <w:rsid w:val="001401B5"/>
    <w:rsid w:val="001422B9"/>
    <w:rsid w:val="0014665F"/>
    <w:rsid w:val="00153464"/>
    <w:rsid w:val="001536C3"/>
    <w:rsid w:val="001541B3"/>
    <w:rsid w:val="0015592D"/>
    <w:rsid w:val="00155B15"/>
    <w:rsid w:val="001625BE"/>
    <w:rsid w:val="001643A4"/>
    <w:rsid w:val="00172125"/>
    <w:rsid w:val="001727BB"/>
    <w:rsid w:val="00180D25"/>
    <w:rsid w:val="0018318D"/>
    <w:rsid w:val="00184804"/>
    <w:rsid w:val="0018572C"/>
    <w:rsid w:val="001876EB"/>
    <w:rsid w:val="0018787B"/>
    <w:rsid w:val="00187E79"/>
    <w:rsid w:val="00187F0D"/>
    <w:rsid w:val="00192CC5"/>
    <w:rsid w:val="001956A7"/>
    <w:rsid w:val="0019699A"/>
    <w:rsid w:val="001A06C8"/>
    <w:rsid w:val="001A0A32"/>
    <w:rsid w:val="001A118A"/>
    <w:rsid w:val="001A27F4"/>
    <w:rsid w:val="001A2D95"/>
    <w:rsid w:val="001A6496"/>
    <w:rsid w:val="001B3460"/>
    <w:rsid w:val="001B42AA"/>
    <w:rsid w:val="001B4CA1"/>
    <w:rsid w:val="001B6301"/>
    <w:rsid w:val="001B70C2"/>
    <w:rsid w:val="001B75D8"/>
    <w:rsid w:val="001C0C92"/>
    <w:rsid w:val="001C1060"/>
    <w:rsid w:val="001C19D0"/>
    <w:rsid w:val="001C3C63"/>
    <w:rsid w:val="001C4649"/>
    <w:rsid w:val="001D4732"/>
    <w:rsid w:val="001D4AD3"/>
    <w:rsid w:val="001D6A3C"/>
    <w:rsid w:val="001D6D51"/>
    <w:rsid w:val="001E50F4"/>
    <w:rsid w:val="001F372E"/>
    <w:rsid w:val="001F653A"/>
    <w:rsid w:val="001F6979"/>
    <w:rsid w:val="001F7C1D"/>
    <w:rsid w:val="002008F9"/>
    <w:rsid w:val="00202BC6"/>
    <w:rsid w:val="00204CD8"/>
    <w:rsid w:val="00205141"/>
    <w:rsid w:val="0020516B"/>
    <w:rsid w:val="0020567D"/>
    <w:rsid w:val="002112AD"/>
    <w:rsid w:val="00213559"/>
    <w:rsid w:val="00213EFD"/>
    <w:rsid w:val="002172F1"/>
    <w:rsid w:val="00220857"/>
    <w:rsid w:val="002209E2"/>
    <w:rsid w:val="00223C7B"/>
    <w:rsid w:val="00224AB1"/>
    <w:rsid w:val="002252EC"/>
    <w:rsid w:val="0022687A"/>
    <w:rsid w:val="00230728"/>
    <w:rsid w:val="00230ACE"/>
    <w:rsid w:val="00234040"/>
    <w:rsid w:val="00235CD2"/>
    <w:rsid w:val="00242CEF"/>
    <w:rsid w:val="0024601D"/>
    <w:rsid w:val="002521BD"/>
    <w:rsid w:val="00254DED"/>
    <w:rsid w:val="00254E9B"/>
    <w:rsid w:val="00255619"/>
    <w:rsid w:val="00255DAD"/>
    <w:rsid w:val="00256108"/>
    <w:rsid w:val="00260F33"/>
    <w:rsid w:val="002613BD"/>
    <w:rsid w:val="002624F1"/>
    <w:rsid w:val="0026573C"/>
    <w:rsid w:val="00265F69"/>
    <w:rsid w:val="00266F8E"/>
    <w:rsid w:val="00270C81"/>
    <w:rsid w:val="00270F79"/>
    <w:rsid w:val="00271558"/>
    <w:rsid w:val="00272C46"/>
    <w:rsid w:val="00274862"/>
    <w:rsid w:val="00282D72"/>
    <w:rsid w:val="00283402"/>
    <w:rsid w:val="00290AAF"/>
    <w:rsid w:val="00290FD6"/>
    <w:rsid w:val="0029109E"/>
    <w:rsid w:val="002911E1"/>
    <w:rsid w:val="00292557"/>
    <w:rsid w:val="00294259"/>
    <w:rsid w:val="002A1A4D"/>
    <w:rsid w:val="002A2C81"/>
    <w:rsid w:val="002B3D1A"/>
    <w:rsid w:val="002C0637"/>
    <w:rsid w:val="002C27D0"/>
    <w:rsid w:val="002C2C9B"/>
    <w:rsid w:val="002D04B3"/>
    <w:rsid w:val="002D17D6"/>
    <w:rsid w:val="002D18D7"/>
    <w:rsid w:val="002D209E"/>
    <w:rsid w:val="002D21CE"/>
    <w:rsid w:val="002D59FB"/>
    <w:rsid w:val="002E3DA3"/>
    <w:rsid w:val="002E450F"/>
    <w:rsid w:val="002E488B"/>
    <w:rsid w:val="002E6B38"/>
    <w:rsid w:val="002E6D63"/>
    <w:rsid w:val="002E6E2B"/>
    <w:rsid w:val="002E70F0"/>
    <w:rsid w:val="002F0DE8"/>
    <w:rsid w:val="002F500B"/>
    <w:rsid w:val="00300991"/>
    <w:rsid w:val="00301959"/>
    <w:rsid w:val="00301ACF"/>
    <w:rsid w:val="00302556"/>
    <w:rsid w:val="00305B8A"/>
    <w:rsid w:val="00307DA3"/>
    <w:rsid w:val="003204D3"/>
    <w:rsid w:val="00322EC8"/>
    <w:rsid w:val="003230F3"/>
    <w:rsid w:val="003256D1"/>
    <w:rsid w:val="00325F0C"/>
    <w:rsid w:val="00330319"/>
    <w:rsid w:val="00331BF9"/>
    <w:rsid w:val="00333E0C"/>
    <w:rsid w:val="0033495E"/>
    <w:rsid w:val="00334A79"/>
    <w:rsid w:val="00334D8D"/>
    <w:rsid w:val="00335248"/>
    <w:rsid w:val="00335A59"/>
    <w:rsid w:val="00337345"/>
    <w:rsid w:val="00337400"/>
    <w:rsid w:val="00337DD2"/>
    <w:rsid w:val="003404D1"/>
    <w:rsid w:val="00341A1F"/>
    <w:rsid w:val="003443FF"/>
    <w:rsid w:val="00347907"/>
    <w:rsid w:val="0035094F"/>
    <w:rsid w:val="00355808"/>
    <w:rsid w:val="00355DB8"/>
    <w:rsid w:val="00357A8E"/>
    <w:rsid w:val="00362C7E"/>
    <w:rsid w:val="00363309"/>
    <w:rsid w:val="00363601"/>
    <w:rsid w:val="00376467"/>
    <w:rsid w:val="00376AC9"/>
    <w:rsid w:val="00380106"/>
    <w:rsid w:val="0038057C"/>
    <w:rsid w:val="00392614"/>
    <w:rsid w:val="00393032"/>
    <w:rsid w:val="00394415"/>
    <w:rsid w:val="00394B69"/>
    <w:rsid w:val="00397078"/>
    <w:rsid w:val="003A1A98"/>
    <w:rsid w:val="003A49B5"/>
    <w:rsid w:val="003A51EA"/>
    <w:rsid w:val="003A6953"/>
    <w:rsid w:val="003B0C37"/>
    <w:rsid w:val="003B1D33"/>
    <w:rsid w:val="003B32D4"/>
    <w:rsid w:val="003B6083"/>
    <w:rsid w:val="003C0364"/>
    <w:rsid w:val="003C3838"/>
    <w:rsid w:val="003C46C2"/>
    <w:rsid w:val="003C5847"/>
    <w:rsid w:val="003C798B"/>
    <w:rsid w:val="003D0681"/>
    <w:rsid w:val="003D12F6"/>
    <w:rsid w:val="003D1426"/>
    <w:rsid w:val="003D3483"/>
    <w:rsid w:val="003D3E8D"/>
    <w:rsid w:val="003D439E"/>
    <w:rsid w:val="003D4A69"/>
    <w:rsid w:val="003E07B4"/>
    <w:rsid w:val="003E2F4E"/>
    <w:rsid w:val="003E40CF"/>
    <w:rsid w:val="003E720A"/>
    <w:rsid w:val="003F06C8"/>
    <w:rsid w:val="003F732C"/>
    <w:rsid w:val="004014AD"/>
    <w:rsid w:val="00403E6E"/>
    <w:rsid w:val="00404D47"/>
    <w:rsid w:val="00406616"/>
    <w:rsid w:val="004129B4"/>
    <w:rsid w:val="00417EF0"/>
    <w:rsid w:val="00421CB9"/>
    <w:rsid w:val="00422181"/>
    <w:rsid w:val="004244A8"/>
    <w:rsid w:val="00425F72"/>
    <w:rsid w:val="00426353"/>
    <w:rsid w:val="00427736"/>
    <w:rsid w:val="0043111B"/>
    <w:rsid w:val="004366EE"/>
    <w:rsid w:val="00441787"/>
    <w:rsid w:val="0044389E"/>
    <w:rsid w:val="00444F2D"/>
    <w:rsid w:val="00444FC6"/>
    <w:rsid w:val="00451178"/>
    <w:rsid w:val="00452034"/>
    <w:rsid w:val="00455FA6"/>
    <w:rsid w:val="004600E8"/>
    <w:rsid w:val="0046212E"/>
    <w:rsid w:val="004654C2"/>
    <w:rsid w:val="00465974"/>
    <w:rsid w:val="00466C70"/>
    <w:rsid w:val="004702C9"/>
    <w:rsid w:val="00472E45"/>
    <w:rsid w:val="00473FEA"/>
    <w:rsid w:val="0047579D"/>
    <w:rsid w:val="00476047"/>
    <w:rsid w:val="00483262"/>
    <w:rsid w:val="00484107"/>
    <w:rsid w:val="00485CC5"/>
    <w:rsid w:val="0049343F"/>
    <w:rsid w:val="004964FC"/>
    <w:rsid w:val="004A145E"/>
    <w:rsid w:val="004A1F15"/>
    <w:rsid w:val="004A2A81"/>
    <w:rsid w:val="004A4FE0"/>
    <w:rsid w:val="004A7BD7"/>
    <w:rsid w:val="004C15C2"/>
    <w:rsid w:val="004C36D8"/>
    <w:rsid w:val="004D1248"/>
    <w:rsid w:val="004D1E3C"/>
    <w:rsid w:val="004D29DB"/>
    <w:rsid w:val="004D4169"/>
    <w:rsid w:val="004D6E14"/>
    <w:rsid w:val="004E0713"/>
    <w:rsid w:val="004E530B"/>
    <w:rsid w:val="004E6759"/>
    <w:rsid w:val="004F4E17"/>
    <w:rsid w:val="0050082F"/>
    <w:rsid w:val="00500C56"/>
    <w:rsid w:val="00501713"/>
    <w:rsid w:val="005019D1"/>
    <w:rsid w:val="00506568"/>
    <w:rsid w:val="00510C24"/>
    <w:rsid w:val="00512E3B"/>
    <w:rsid w:val="0051551B"/>
    <w:rsid w:val="00516A1D"/>
    <w:rsid w:val="005170B2"/>
    <w:rsid w:val="00517E74"/>
    <w:rsid w:val="00520C57"/>
    <w:rsid w:val="00521C29"/>
    <w:rsid w:val="00522D94"/>
    <w:rsid w:val="0052748F"/>
    <w:rsid w:val="0052770E"/>
    <w:rsid w:val="00533BA2"/>
    <w:rsid w:val="00533D89"/>
    <w:rsid w:val="005355C6"/>
    <w:rsid w:val="00536564"/>
    <w:rsid w:val="005411E5"/>
    <w:rsid w:val="005444D5"/>
    <w:rsid w:val="00544597"/>
    <w:rsid w:val="00544AF5"/>
    <w:rsid w:val="00544FFE"/>
    <w:rsid w:val="00546BCD"/>
    <w:rsid w:val="005473F5"/>
    <w:rsid w:val="005477E7"/>
    <w:rsid w:val="00552794"/>
    <w:rsid w:val="0056013E"/>
    <w:rsid w:val="00562D03"/>
    <w:rsid w:val="00562FDB"/>
    <w:rsid w:val="00563199"/>
    <w:rsid w:val="00564874"/>
    <w:rsid w:val="00567963"/>
    <w:rsid w:val="0057009A"/>
    <w:rsid w:val="00571260"/>
    <w:rsid w:val="0057189C"/>
    <w:rsid w:val="00571A72"/>
    <w:rsid w:val="00573FC1"/>
    <w:rsid w:val="005741EE"/>
    <w:rsid w:val="00575F68"/>
    <w:rsid w:val="0057668E"/>
    <w:rsid w:val="0058066D"/>
    <w:rsid w:val="00581C9A"/>
    <w:rsid w:val="00592232"/>
    <w:rsid w:val="00595E83"/>
    <w:rsid w:val="00596530"/>
    <w:rsid w:val="005967F3"/>
    <w:rsid w:val="00596D33"/>
    <w:rsid w:val="005A06DF"/>
    <w:rsid w:val="005A5527"/>
    <w:rsid w:val="005A5AE6"/>
    <w:rsid w:val="005B1206"/>
    <w:rsid w:val="005B37E8"/>
    <w:rsid w:val="005B7263"/>
    <w:rsid w:val="005C0056"/>
    <w:rsid w:val="005D61D6"/>
    <w:rsid w:val="005D7833"/>
    <w:rsid w:val="005E0214"/>
    <w:rsid w:val="005E0D13"/>
    <w:rsid w:val="005E5047"/>
    <w:rsid w:val="005E6CB1"/>
    <w:rsid w:val="005E7205"/>
    <w:rsid w:val="005E7371"/>
    <w:rsid w:val="005F116C"/>
    <w:rsid w:val="005F2131"/>
    <w:rsid w:val="006001D4"/>
    <w:rsid w:val="0060371C"/>
    <w:rsid w:val="00605EF6"/>
    <w:rsid w:val="00606455"/>
    <w:rsid w:val="00614929"/>
    <w:rsid w:val="00616511"/>
    <w:rsid w:val="00616EE6"/>
    <w:rsid w:val="006176ED"/>
    <w:rsid w:val="006202F3"/>
    <w:rsid w:val="0062097A"/>
    <w:rsid w:val="00621DA6"/>
    <w:rsid w:val="00622797"/>
    <w:rsid w:val="00623CFE"/>
    <w:rsid w:val="00625EE7"/>
    <w:rsid w:val="00626317"/>
    <w:rsid w:val="006265D4"/>
    <w:rsid w:val="00627221"/>
    <w:rsid w:val="00627EE8"/>
    <w:rsid w:val="006316FA"/>
    <w:rsid w:val="00636E18"/>
    <w:rsid w:val="006370D2"/>
    <w:rsid w:val="0064074F"/>
    <w:rsid w:val="00641F55"/>
    <w:rsid w:val="006447F0"/>
    <w:rsid w:val="0064591E"/>
    <w:rsid w:val="00645E4A"/>
    <w:rsid w:val="00653688"/>
    <w:rsid w:val="0065461D"/>
    <w:rsid w:val="00655617"/>
    <w:rsid w:val="00656CD2"/>
    <w:rsid w:val="0066091B"/>
    <w:rsid w:val="006642E8"/>
    <w:rsid w:val="006660E9"/>
    <w:rsid w:val="00667249"/>
    <w:rsid w:val="00667558"/>
    <w:rsid w:val="00670B74"/>
    <w:rsid w:val="00671523"/>
    <w:rsid w:val="00675070"/>
    <w:rsid w:val="006754EF"/>
    <w:rsid w:val="00675DBB"/>
    <w:rsid w:val="00676C8D"/>
    <w:rsid w:val="00676F1F"/>
    <w:rsid w:val="00677381"/>
    <w:rsid w:val="00677414"/>
    <w:rsid w:val="006832CF"/>
    <w:rsid w:val="00683CA3"/>
    <w:rsid w:val="0068601E"/>
    <w:rsid w:val="00691F25"/>
    <w:rsid w:val="0069486B"/>
    <w:rsid w:val="006963F0"/>
    <w:rsid w:val="006A0290"/>
    <w:rsid w:val="006A4904"/>
    <w:rsid w:val="006A548F"/>
    <w:rsid w:val="006A701A"/>
    <w:rsid w:val="006B2229"/>
    <w:rsid w:val="006B37D8"/>
    <w:rsid w:val="006B64DC"/>
    <w:rsid w:val="006B7A91"/>
    <w:rsid w:val="006C3E9A"/>
    <w:rsid w:val="006C67AE"/>
    <w:rsid w:val="006D1145"/>
    <w:rsid w:val="006D4704"/>
    <w:rsid w:val="006D6A2D"/>
    <w:rsid w:val="006D6ACC"/>
    <w:rsid w:val="006E1E18"/>
    <w:rsid w:val="006E31CE"/>
    <w:rsid w:val="006E34D3"/>
    <w:rsid w:val="006E356B"/>
    <w:rsid w:val="006E49A0"/>
    <w:rsid w:val="006F1435"/>
    <w:rsid w:val="006F78C4"/>
    <w:rsid w:val="006F7D44"/>
    <w:rsid w:val="00702079"/>
    <w:rsid w:val="007031A0"/>
    <w:rsid w:val="00705A29"/>
    <w:rsid w:val="00707498"/>
    <w:rsid w:val="007075C7"/>
    <w:rsid w:val="00707F5C"/>
    <w:rsid w:val="00711A65"/>
    <w:rsid w:val="00714133"/>
    <w:rsid w:val="00714DA4"/>
    <w:rsid w:val="007158B2"/>
    <w:rsid w:val="00716081"/>
    <w:rsid w:val="00722B48"/>
    <w:rsid w:val="00722BC0"/>
    <w:rsid w:val="00724164"/>
    <w:rsid w:val="00725DE7"/>
    <w:rsid w:val="0072636A"/>
    <w:rsid w:val="00726B44"/>
    <w:rsid w:val="007318DD"/>
    <w:rsid w:val="00733167"/>
    <w:rsid w:val="00737084"/>
    <w:rsid w:val="00740D2C"/>
    <w:rsid w:val="00744BF9"/>
    <w:rsid w:val="00752623"/>
    <w:rsid w:val="00754C69"/>
    <w:rsid w:val="00760F1F"/>
    <w:rsid w:val="0076423E"/>
    <w:rsid w:val="007646CB"/>
    <w:rsid w:val="0076658F"/>
    <w:rsid w:val="00767A26"/>
    <w:rsid w:val="0077040A"/>
    <w:rsid w:val="00772D64"/>
    <w:rsid w:val="007746F7"/>
    <w:rsid w:val="00774D75"/>
    <w:rsid w:val="00776846"/>
    <w:rsid w:val="007803CB"/>
    <w:rsid w:val="00782406"/>
    <w:rsid w:val="00790050"/>
    <w:rsid w:val="007900A3"/>
    <w:rsid w:val="00792609"/>
    <w:rsid w:val="00792887"/>
    <w:rsid w:val="007932A4"/>
    <w:rsid w:val="007943E2"/>
    <w:rsid w:val="007944B6"/>
    <w:rsid w:val="00794F2C"/>
    <w:rsid w:val="007958DD"/>
    <w:rsid w:val="00797AA5"/>
    <w:rsid w:val="007A3377"/>
    <w:rsid w:val="007A3402"/>
    <w:rsid w:val="007A3BC7"/>
    <w:rsid w:val="007A5AC4"/>
    <w:rsid w:val="007B0FDD"/>
    <w:rsid w:val="007B4802"/>
    <w:rsid w:val="007B6668"/>
    <w:rsid w:val="007B6B33"/>
    <w:rsid w:val="007B7D03"/>
    <w:rsid w:val="007C2701"/>
    <w:rsid w:val="007D2192"/>
    <w:rsid w:val="007D74A4"/>
    <w:rsid w:val="007E1543"/>
    <w:rsid w:val="007E4D35"/>
    <w:rsid w:val="007F0021"/>
    <w:rsid w:val="007F2F52"/>
    <w:rsid w:val="007F5DE5"/>
    <w:rsid w:val="00801F71"/>
    <w:rsid w:val="00802543"/>
    <w:rsid w:val="00803532"/>
    <w:rsid w:val="00805F28"/>
    <w:rsid w:val="0080749F"/>
    <w:rsid w:val="00807F33"/>
    <w:rsid w:val="00811D46"/>
    <w:rsid w:val="008125B0"/>
    <w:rsid w:val="008138B9"/>
    <w:rsid w:val="008144CB"/>
    <w:rsid w:val="00816017"/>
    <w:rsid w:val="00821717"/>
    <w:rsid w:val="00824210"/>
    <w:rsid w:val="008263C0"/>
    <w:rsid w:val="00826C55"/>
    <w:rsid w:val="008270C2"/>
    <w:rsid w:val="00832276"/>
    <w:rsid w:val="00833C00"/>
    <w:rsid w:val="008378AD"/>
    <w:rsid w:val="00837AC2"/>
    <w:rsid w:val="00841422"/>
    <w:rsid w:val="00841D3B"/>
    <w:rsid w:val="0084314C"/>
    <w:rsid w:val="00843171"/>
    <w:rsid w:val="00850D06"/>
    <w:rsid w:val="008540B8"/>
    <w:rsid w:val="008575C3"/>
    <w:rsid w:val="00857E27"/>
    <w:rsid w:val="00863D28"/>
    <w:rsid w:val="00864421"/>
    <w:rsid w:val="008648C3"/>
    <w:rsid w:val="00880F26"/>
    <w:rsid w:val="008920B4"/>
    <w:rsid w:val="00894FA0"/>
    <w:rsid w:val="00896A0F"/>
    <w:rsid w:val="00896C2E"/>
    <w:rsid w:val="008A27F9"/>
    <w:rsid w:val="008A5095"/>
    <w:rsid w:val="008A608F"/>
    <w:rsid w:val="008A6C31"/>
    <w:rsid w:val="008B00B5"/>
    <w:rsid w:val="008B1A9A"/>
    <w:rsid w:val="008B4FE6"/>
    <w:rsid w:val="008B57B2"/>
    <w:rsid w:val="008B6C37"/>
    <w:rsid w:val="008C4FFB"/>
    <w:rsid w:val="008C5D43"/>
    <w:rsid w:val="008D455E"/>
    <w:rsid w:val="008D4A10"/>
    <w:rsid w:val="008E0DB4"/>
    <w:rsid w:val="008E18F7"/>
    <w:rsid w:val="008E1E10"/>
    <w:rsid w:val="008E250F"/>
    <w:rsid w:val="008E291B"/>
    <w:rsid w:val="008E4F2F"/>
    <w:rsid w:val="008E5F4C"/>
    <w:rsid w:val="008E74B0"/>
    <w:rsid w:val="009008A8"/>
    <w:rsid w:val="009014CA"/>
    <w:rsid w:val="00905398"/>
    <w:rsid w:val="009063B0"/>
    <w:rsid w:val="00907106"/>
    <w:rsid w:val="009107FD"/>
    <w:rsid w:val="0091137C"/>
    <w:rsid w:val="00911567"/>
    <w:rsid w:val="00914343"/>
    <w:rsid w:val="0091505A"/>
    <w:rsid w:val="0091790A"/>
    <w:rsid w:val="00917AAE"/>
    <w:rsid w:val="00924294"/>
    <w:rsid w:val="009251A9"/>
    <w:rsid w:val="00926F49"/>
    <w:rsid w:val="00930699"/>
    <w:rsid w:val="00931F69"/>
    <w:rsid w:val="00933D75"/>
    <w:rsid w:val="00934123"/>
    <w:rsid w:val="0093542B"/>
    <w:rsid w:val="00942109"/>
    <w:rsid w:val="009442C4"/>
    <w:rsid w:val="009445F0"/>
    <w:rsid w:val="009459C9"/>
    <w:rsid w:val="0095070C"/>
    <w:rsid w:val="0095107A"/>
    <w:rsid w:val="00953BC4"/>
    <w:rsid w:val="00955774"/>
    <w:rsid w:val="009560B5"/>
    <w:rsid w:val="00964C82"/>
    <w:rsid w:val="00966035"/>
    <w:rsid w:val="009703D6"/>
    <w:rsid w:val="0097181B"/>
    <w:rsid w:val="00976DC5"/>
    <w:rsid w:val="009818C7"/>
    <w:rsid w:val="00982DD4"/>
    <w:rsid w:val="0098359F"/>
    <w:rsid w:val="009841E5"/>
    <w:rsid w:val="0098465E"/>
    <w:rsid w:val="0098479F"/>
    <w:rsid w:val="00984A8A"/>
    <w:rsid w:val="009857B6"/>
    <w:rsid w:val="00985A8D"/>
    <w:rsid w:val="00985E6A"/>
    <w:rsid w:val="00986610"/>
    <w:rsid w:val="009877B5"/>
    <w:rsid w:val="009877DC"/>
    <w:rsid w:val="00991583"/>
    <w:rsid w:val="00991F96"/>
    <w:rsid w:val="00993994"/>
    <w:rsid w:val="00996F0A"/>
    <w:rsid w:val="009A1655"/>
    <w:rsid w:val="009A1D86"/>
    <w:rsid w:val="009A32D0"/>
    <w:rsid w:val="009A50C6"/>
    <w:rsid w:val="009A6975"/>
    <w:rsid w:val="009A70B7"/>
    <w:rsid w:val="009A7183"/>
    <w:rsid w:val="009B049C"/>
    <w:rsid w:val="009B11C8"/>
    <w:rsid w:val="009B2843"/>
    <w:rsid w:val="009B2BCF"/>
    <w:rsid w:val="009B2FF8"/>
    <w:rsid w:val="009B3F6F"/>
    <w:rsid w:val="009B499F"/>
    <w:rsid w:val="009B5BA3"/>
    <w:rsid w:val="009B6C67"/>
    <w:rsid w:val="009B7CAD"/>
    <w:rsid w:val="009C0353"/>
    <w:rsid w:val="009C0F4A"/>
    <w:rsid w:val="009C45DF"/>
    <w:rsid w:val="009C4A08"/>
    <w:rsid w:val="009C560A"/>
    <w:rsid w:val="009C5673"/>
    <w:rsid w:val="009D0027"/>
    <w:rsid w:val="009D0655"/>
    <w:rsid w:val="009D1A59"/>
    <w:rsid w:val="009D359F"/>
    <w:rsid w:val="009D7497"/>
    <w:rsid w:val="009E1E98"/>
    <w:rsid w:val="009E3ABE"/>
    <w:rsid w:val="009E3C4B"/>
    <w:rsid w:val="009E7500"/>
    <w:rsid w:val="009E772B"/>
    <w:rsid w:val="009F0637"/>
    <w:rsid w:val="009F1821"/>
    <w:rsid w:val="009F4EF8"/>
    <w:rsid w:val="009F4F6A"/>
    <w:rsid w:val="009F62A6"/>
    <w:rsid w:val="009F674F"/>
    <w:rsid w:val="009F799E"/>
    <w:rsid w:val="00A00A8C"/>
    <w:rsid w:val="00A02020"/>
    <w:rsid w:val="00A056CB"/>
    <w:rsid w:val="00A07326"/>
    <w:rsid w:val="00A07A29"/>
    <w:rsid w:val="00A10FF1"/>
    <w:rsid w:val="00A1506B"/>
    <w:rsid w:val="00A164E0"/>
    <w:rsid w:val="00A17A98"/>
    <w:rsid w:val="00A17CB2"/>
    <w:rsid w:val="00A17FF3"/>
    <w:rsid w:val="00A20D71"/>
    <w:rsid w:val="00A23191"/>
    <w:rsid w:val="00A27396"/>
    <w:rsid w:val="00A319C0"/>
    <w:rsid w:val="00A33560"/>
    <w:rsid w:val="00A364E4"/>
    <w:rsid w:val="00A371A5"/>
    <w:rsid w:val="00A42319"/>
    <w:rsid w:val="00A47BDF"/>
    <w:rsid w:val="00A51CD7"/>
    <w:rsid w:val="00A52ADB"/>
    <w:rsid w:val="00A533E8"/>
    <w:rsid w:val="00A542D9"/>
    <w:rsid w:val="00A56E64"/>
    <w:rsid w:val="00A609C9"/>
    <w:rsid w:val="00A624C3"/>
    <w:rsid w:val="00A6641C"/>
    <w:rsid w:val="00A73674"/>
    <w:rsid w:val="00A767D2"/>
    <w:rsid w:val="00A77616"/>
    <w:rsid w:val="00A77BCE"/>
    <w:rsid w:val="00A805DA"/>
    <w:rsid w:val="00A811B4"/>
    <w:rsid w:val="00A835B4"/>
    <w:rsid w:val="00A87CDE"/>
    <w:rsid w:val="00A917EA"/>
    <w:rsid w:val="00A92BAF"/>
    <w:rsid w:val="00A94737"/>
    <w:rsid w:val="00A94BA3"/>
    <w:rsid w:val="00A96CBA"/>
    <w:rsid w:val="00AA19DF"/>
    <w:rsid w:val="00AA64E0"/>
    <w:rsid w:val="00AB137E"/>
    <w:rsid w:val="00AB1ACD"/>
    <w:rsid w:val="00AB277F"/>
    <w:rsid w:val="00AB3725"/>
    <w:rsid w:val="00AB4099"/>
    <w:rsid w:val="00AB449A"/>
    <w:rsid w:val="00AB5A31"/>
    <w:rsid w:val="00AC2BEF"/>
    <w:rsid w:val="00AD1150"/>
    <w:rsid w:val="00AD14F9"/>
    <w:rsid w:val="00AD1645"/>
    <w:rsid w:val="00AD33DA"/>
    <w:rsid w:val="00AD35D6"/>
    <w:rsid w:val="00AD4C5D"/>
    <w:rsid w:val="00AD58C5"/>
    <w:rsid w:val="00AD5B3D"/>
    <w:rsid w:val="00AE0674"/>
    <w:rsid w:val="00AE1442"/>
    <w:rsid w:val="00AE1F71"/>
    <w:rsid w:val="00AE36C4"/>
    <w:rsid w:val="00AE472C"/>
    <w:rsid w:val="00AE5375"/>
    <w:rsid w:val="00AE6CF8"/>
    <w:rsid w:val="00AF0513"/>
    <w:rsid w:val="00AF4CAC"/>
    <w:rsid w:val="00AF7796"/>
    <w:rsid w:val="00B03E0D"/>
    <w:rsid w:val="00B054F8"/>
    <w:rsid w:val="00B075CC"/>
    <w:rsid w:val="00B07B16"/>
    <w:rsid w:val="00B11319"/>
    <w:rsid w:val="00B20052"/>
    <w:rsid w:val="00B2219A"/>
    <w:rsid w:val="00B23B9B"/>
    <w:rsid w:val="00B30A38"/>
    <w:rsid w:val="00B34860"/>
    <w:rsid w:val="00B3581B"/>
    <w:rsid w:val="00B36B81"/>
    <w:rsid w:val="00B36FEE"/>
    <w:rsid w:val="00B37C80"/>
    <w:rsid w:val="00B404D0"/>
    <w:rsid w:val="00B41693"/>
    <w:rsid w:val="00B46E29"/>
    <w:rsid w:val="00B5092B"/>
    <w:rsid w:val="00B5194E"/>
    <w:rsid w:val="00B51AF5"/>
    <w:rsid w:val="00B531FC"/>
    <w:rsid w:val="00B53BB0"/>
    <w:rsid w:val="00B54E9E"/>
    <w:rsid w:val="00B55347"/>
    <w:rsid w:val="00B57E5E"/>
    <w:rsid w:val="00B61F37"/>
    <w:rsid w:val="00B63BA9"/>
    <w:rsid w:val="00B6484A"/>
    <w:rsid w:val="00B73185"/>
    <w:rsid w:val="00B7770F"/>
    <w:rsid w:val="00B77A89"/>
    <w:rsid w:val="00B77B27"/>
    <w:rsid w:val="00B8027F"/>
    <w:rsid w:val="00B8134E"/>
    <w:rsid w:val="00B81B55"/>
    <w:rsid w:val="00B829DA"/>
    <w:rsid w:val="00B84613"/>
    <w:rsid w:val="00B87AF0"/>
    <w:rsid w:val="00B9037B"/>
    <w:rsid w:val="00B910BD"/>
    <w:rsid w:val="00B9368A"/>
    <w:rsid w:val="00B93834"/>
    <w:rsid w:val="00B96469"/>
    <w:rsid w:val="00BA0D0A"/>
    <w:rsid w:val="00BA0DA2"/>
    <w:rsid w:val="00BA2981"/>
    <w:rsid w:val="00BA40B0"/>
    <w:rsid w:val="00BA42EE"/>
    <w:rsid w:val="00BA48F9"/>
    <w:rsid w:val="00BA4EBE"/>
    <w:rsid w:val="00BB0DCA"/>
    <w:rsid w:val="00BB2666"/>
    <w:rsid w:val="00BB6B80"/>
    <w:rsid w:val="00BC3773"/>
    <w:rsid w:val="00BC381A"/>
    <w:rsid w:val="00BC4224"/>
    <w:rsid w:val="00BD0962"/>
    <w:rsid w:val="00BD1E91"/>
    <w:rsid w:val="00BD1EED"/>
    <w:rsid w:val="00BD4BEC"/>
    <w:rsid w:val="00BE1425"/>
    <w:rsid w:val="00BE7D1E"/>
    <w:rsid w:val="00BF0DA2"/>
    <w:rsid w:val="00BF109C"/>
    <w:rsid w:val="00BF18E1"/>
    <w:rsid w:val="00BF2DF2"/>
    <w:rsid w:val="00BF330F"/>
    <w:rsid w:val="00BF34FA"/>
    <w:rsid w:val="00C004B6"/>
    <w:rsid w:val="00C01634"/>
    <w:rsid w:val="00C035B6"/>
    <w:rsid w:val="00C03B6E"/>
    <w:rsid w:val="00C03C41"/>
    <w:rsid w:val="00C047A7"/>
    <w:rsid w:val="00C05DE5"/>
    <w:rsid w:val="00C07C77"/>
    <w:rsid w:val="00C1695A"/>
    <w:rsid w:val="00C17A87"/>
    <w:rsid w:val="00C20613"/>
    <w:rsid w:val="00C207E8"/>
    <w:rsid w:val="00C20C71"/>
    <w:rsid w:val="00C218B8"/>
    <w:rsid w:val="00C21EB7"/>
    <w:rsid w:val="00C22993"/>
    <w:rsid w:val="00C24E09"/>
    <w:rsid w:val="00C26DF6"/>
    <w:rsid w:val="00C33027"/>
    <w:rsid w:val="00C360A1"/>
    <w:rsid w:val="00C37667"/>
    <w:rsid w:val="00C40D63"/>
    <w:rsid w:val="00C435DB"/>
    <w:rsid w:val="00C44942"/>
    <w:rsid w:val="00C44D73"/>
    <w:rsid w:val="00C4580D"/>
    <w:rsid w:val="00C46388"/>
    <w:rsid w:val="00C50B42"/>
    <w:rsid w:val="00C516FF"/>
    <w:rsid w:val="00C52BFA"/>
    <w:rsid w:val="00C53D1D"/>
    <w:rsid w:val="00C53F26"/>
    <w:rsid w:val="00C540BC"/>
    <w:rsid w:val="00C63A1D"/>
    <w:rsid w:val="00C64F7D"/>
    <w:rsid w:val="00C67309"/>
    <w:rsid w:val="00C74CF4"/>
    <w:rsid w:val="00C7614E"/>
    <w:rsid w:val="00C77BF1"/>
    <w:rsid w:val="00C80D60"/>
    <w:rsid w:val="00C81A63"/>
    <w:rsid w:val="00C82FBD"/>
    <w:rsid w:val="00C85267"/>
    <w:rsid w:val="00C8721B"/>
    <w:rsid w:val="00C879E7"/>
    <w:rsid w:val="00C913A8"/>
    <w:rsid w:val="00C9372C"/>
    <w:rsid w:val="00C9470E"/>
    <w:rsid w:val="00C94AE3"/>
    <w:rsid w:val="00C9550B"/>
    <w:rsid w:val="00C95CEB"/>
    <w:rsid w:val="00C963B2"/>
    <w:rsid w:val="00C976E5"/>
    <w:rsid w:val="00CA031A"/>
    <w:rsid w:val="00CA1054"/>
    <w:rsid w:val="00CA63EB"/>
    <w:rsid w:val="00CA69F1"/>
    <w:rsid w:val="00CB3245"/>
    <w:rsid w:val="00CB5FFD"/>
    <w:rsid w:val="00CB6991"/>
    <w:rsid w:val="00CC112F"/>
    <w:rsid w:val="00CC3F00"/>
    <w:rsid w:val="00CC6194"/>
    <w:rsid w:val="00CC6305"/>
    <w:rsid w:val="00CC73B6"/>
    <w:rsid w:val="00CC78A5"/>
    <w:rsid w:val="00CD0516"/>
    <w:rsid w:val="00CD16D4"/>
    <w:rsid w:val="00CD24EB"/>
    <w:rsid w:val="00CD72F2"/>
    <w:rsid w:val="00CD756B"/>
    <w:rsid w:val="00CE474F"/>
    <w:rsid w:val="00CE734F"/>
    <w:rsid w:val="00CF008B"/>
    <w:rsid w:val="00CF112E"/>
    <w:rsid w:val="00CF4100"/>
    <w:rsid w:val="00CF4BC3"/>
    <w:rsid w:val="00CF5EF9"/>
    <w:rsid w:val="00CF5F4F"/>
    <w:rsid w:val="00D0337B"/>
    <w:rsid w:val="00D14018"/>
    <w:rsid w:val="00D15715"/>
    <w:rsid w:val="00D218DC"/>
    <w:rsid w:val="00D2371C"/>
    <w:rsid w:val="00D24E56"/>
    <w:rsid w:val="00D31643"/>
    <w:rsid w:val="00D31AEB"/>
    <w:rsid w:val="00D32ECD"/>
    <w:rsid w:val="00D361E4"/>
    <w:rsid w:val="00D42A8F"/>
    <w:rsid w:val="00D439E7"/>
    <w:rsid w:val="00D439F6"/>
    <w:rsid w:val="00D459C6"/>
    <w:rsid w:val="00D46FE4"/>
    <w:rsid w:val="00D5039C"/>
    <w:rsid w:val="00D50729"/>
    <w:rsid w:val="00D50C19"/>
    <w:rsid w:val="00D5379E"/>
    <w:rsid w:val="00D57B64"/>
    <w:rsid w:val="00D60A6F"/>
    <w:rsid w:val="00D62643"/>
    <w:rsid w:val="00D64C0F"/>
    <w:rsid w:val="00D71B74"/>
    <w:rsid w:val="00D72EFE"/>
    <w:rsid w:val="00D76227"/>
    <w:rsid w:val="00D77DF1"/>
    <w:rsid w:val="00D77F27"/>
    <w:rsid w:val="00D83F8B"/>
    <w:rsid w:val="00D86AFF"/>
    <w:rsid w:val="00D95A44"/>
    <w:rsid w:val="00D95D16"/>
    <w:rsid w:val="00D97C76"/>
    <w:rsid w:val="00D97E02"/>
    <w:rsid w:val="00DB02B4"/>
    <w:rsid w:val="00DB515F"/>
    <w:rsid w:val="00DB538D"/>
    <w:rsid w:val="00DC275C"/>
    <w:rsid w:val="00DC4B0D"/>
    <w:rsid w:val="00DC7FE1"/>
    <w:rsid w:val="00DD3F3F"/>
    <w:rsid w:val="00DD5572"/>
    <w:rsid w:val="00DE4C8B"/>
    <w:rsid w:val="00DE5D80"/>
    <w:rsid w:val="00DE67E0"/>
    <w:rsid w:val="00DF0346"/>
    <w:rsid w:val="00DF1E0D"/>
    <w:rsid w:val="00DF58CD"/>
    <w:rsid w:val="00DF65DE"/>
    <w:rsid w:val="00E019A5"/>
    <w:rsid w:val="00E02B7B"/>
    <w:rsid w:val="00E02EC8"/>
    <w:rsid w:val="00E037F5"/>
    <w:rsid w:val="00E04ECB"/>
    <w:rsid w:val="00E05A09"/>
    <w:rsid w:val="00E06CA1"/>
    <w:rsid w:val="00E0709E"/>
    <w:rsid w:val="00E16C35"/>
    <w:rsid w:val="00E171CA"/>
    <w:rsid w:val="00E172B8"/>
    <w:rsid w:val="00E17FB4"/>
    <w:rsid w:val="00E20B75"/>
    <w:rsid w:val="00E214F2"/>
    <w:rsid w:val="00E22FB8"/>
    <w:rsid w:val="00E2371E"/>
    <w:rsid w:val="00E24BD7"/>
    <w:rsid w:val="00E26523"/>
    <w:rsid w:val="00E26809"/>
    <w:rsid w:val="00E268B4"/>
    <w:rsid w:val="00E27C13"/>
    <w:rsid w:val="00E3412D"/>
    <w:rsid w:val="00E36122"/>
    <w:rsid w:val="00E364E5"/>
    <w:rsid w:val="00E41525"/>
    <w:rsid w:val="00E53CBF"/>
    <w:rsid w:val="00E546D0"/>
    <w:rsid w:val="00E55542"/>
    <w:rsid w:val="00E55D19"/>
    <w:rsid w:val="00E57322"/>
    <w:rsid w:val="00E61704"/>
    <w:rsid w:val="00E628CB"/>
    <w:rsid w:val="00E62AD9"/>
    <w:rsid w:val="00E638C8"/>
    <w:rsid w:val="00E67D4E"/>
    <w:rsid w:val="00E7509B"/>
    <w:rsid w:val="00E86590"/>
    <w:rsid w:val="00E907FF"/>
    <w:rsid w:val="00E962F2"/>
    <w:rsid w:val="00EA1360"/>
    <w:rsid w:val="00EA3077"/>
    <w:rsid w:val="00EA42D1"/>
    <w:rsid w:val="00EA42EF"/>
    <w:rsid w:val="00EA5D97"/>
    <w:rsid w:val="00EA5F78"/>
    <w:rsid w:val="00EA69EF"/>
    <w:rsid w:val="00EB2DD1"/>
    <w:rsid w:val="00EB6B37"/>
    <w:rsid w:val="00EC00A4"/>
    <w:rsid w:val="00EC2030"/>
    <w:rsid w:val="00EC29FE"/>
    <w:rsid w:val="00EC3C70"/>
    <w:rsid w:val="00EC5818"/>
    <w:rsid w:val="00EC64B7"/>
    <w:rsid w:val="00EC74FF"/>
    <w:rsid w:val="00ED331B"/>
    <w:rsid w:val="00ED3A3D"/>
    <w:rsid w:val="00ED538A"/>
    <w:rsid w:val="00ED6FBC"/>
    <w:rsid w:val="00EE1E71"/>
    <w:rsid w:val="00EE2F16"/>
    <w:rsid w:val="00EE3861"/>
    <w:rsid w:val="00EE49CE"/>
    <w:rsid w:val="00EF2E73"/>
    <w:rsid w:val="00EF5030"/>
    <w:rsid w:val="00EF7683"/>
    <w:rsid w:val="00EF7A2D"/>
    <w:rsid w:val="00EF7D96"/>
    <w:rsid w:val="00F04997"/>
    <w:rsid w:val="00F04F8D"/>
    <w:rsid w:val="00F10AD0"/>
    <w:rsid w:val="00F116CC"/>
    <w:rsid w:val="00F12BD1"/>
    <w:rsid w:val="00F136EA"/>
    <w:rsid w:val="00F14065"/>
    <w:rsid w:val="00F15327"/>
    <w:rsid w:val="00F168CF"/>
    <w:rsid w:val="00F2555C"/>
    <w:rsid w:val="00F31DF3"/>
    <w:rsid w:val="00F33355"/>
    <w:rsid w:val="00F33AE5"/>
    <w:rsid w:val="00F3597D"/>
    <w:rsid w:val="00F35AC1"/>
    <w:rsid w:val="00F4147D"/>
    <w:rsid w:val="00F416F7"/>
    <w:rsid w:val="00F4376D"/>
    <w:rsid w:val="00F45399"/>
    <w:rsid w:val="00F465EA"/>
    <w:rsid w:val="00F47625"/>
    <w:rsid w:val="00F54A2C"/>
    <w:rsid w:val="00F54E7B"/>
    <w:rsid w:val="00F55A88"/>
    <w:rsid w:val="00F620A4"/>
    <w:rsid w:val="00F6615F"/>
    <w:rsid w:val="00F67BE9"/>
    <w:rsid w:val="00F74005"/>
    <w:rsid w:val="00F74FE6"/>
    <w:rsid w:val="00F76884"/>
    <w:rsid w:val="00F77AA1"/>
    <w:rsid w:val="00F77F7B"/>
    <w:rsid w:val="00F8116F"/>
    <w:rsid w:val="00F81C16"/>
    <w:rsid w:val="00F81D29"/>
    <w:rsid w:val="00F83D24"/>
    <w:rsid w:val="00F83DD9"/>
    <w:rsid w:val="00F83F40"/>
    <w:rsid w:val="00F9083A"/>
    <w:rsid w:val="00F93129"/>
    <w:rsid w:val="00FA117A"/>
    <w:rsid w:val="00FA4EF4"/>
    <w:rsid w:val="00FB27F8"/>
    <w:rsid w:val="00FB386A"/>
    <w:rsid w:val="00FC012D"/>
    <w:rsid w:val="00FC0786"/>
    <w:rsid w:val="00FC3FC8"/>
    <w:rsid w:val="00FC49EF"/>
    <w:rsid w:val="00FC7048"/>
    <w:rsid w:val="00FE184E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Teksttreci3">
    <w:name w:val="Tekst treści (3)_"/>
    <w:link w:val="Teksttreci31"/>
    <w:uiPriority w:val="99"/>
    <w:rsid w:val="00BA40B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BA40B0"/>
    <w:pPr>
      <w:widowControl w:val="0"/>
      <w:shd w:val="clear" w:color="auto" w:fill="FFFFFF"/>
      <w:spacing w:before="240" w:after="60" w:line="274" w:lineRule="exact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D749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D7497"/>
    <w:rPr>
      <w:rFonts w:ascii="Times New Roman" w:hAnsi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D7497"/>
    <w:pPr>
      <w:widowControl w:val="0"/>
      <w:shd w:val="clear" w:color="auto" w:fill="FFFFFF"/>
      <w:spacing w:before="360" w:line="420" w:lineRule="exact"/>
    </w:pPr>
    <w:rPr>
      <w:rFonts w:ascii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835B4"/>
  </w:style>
  <w:style w:type="character" w:customStyle="1" w:styleId="linkkoszulkaid">
    <w:name w:val="link_koszulka_id"/>
    <w:basedOn w:val="Domylnaczcionkaakapitu"/>
    <w:rsid w:val="00A835B4"/>
  </w:style>
  <w:style w:type="character" w:customStyle="1" w:styleId="Teksttreci2">
    <w:name w:val="Tekst treści2"/>
    <w:uiPriority w:val="99"/>
    <w:rsid w:val="009F1821"/>
    <w:rPr>
      <w:rFonts w:ascii="Times New Roman" w:hAnsi="Times New Roman" w:cs="Times New Roman"/>
      <w:color w:val="191919"/>
      <w:sz w:val="22"/>
      <w:szCs w:val="22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1559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15592D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</w:rPr>
  </w:style>
  <w:style w:type="paragraph" w:customStyle="1" w:styleId="PKTpunkt">
    <w:name w:val="PKT – punkt"/>
    <w:qFormat/>
    <w:rsid w:val="00A00A8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Teksttreci4">
    <w:name w:val="Tekst treści (4)_"/>
    <w:link w:val="Teksttreci41"/>
    <w:rsid w:val="008A6C31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8A6C31"/>
    <w:pPr>
      <w:widowControl w:val="0"/>
      <w:shd w:val="clear" w:color="auto" w:fill="FFFFFF"/>
      <w:spacing w:line="254" w:lineRule="exact"/>
      <w:ind w:hanging="380"/>
      <w:jc w:val="both"/>
    </w:pPr>
    <w:rPr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0353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80353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ulanowski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147E-533B-4B50-A993-EDF80305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2016-12-14T09:26:00Z</dcterms:created>
  <dcterms:modified xsi:type="dcterms:W3CDTF">2016-12-14T11:24:00Z</dcterms:modified>
</cp:coreProperties>
</file>